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theme/themeOverride1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40" w:rsidRPr="00825788" w:rsidRDefault="00FB5F40" w:rsidP="0010038A">
      <w:pPr>
        <w:spacing w:after="0" w:line="240" w:lineRule="auto"/>
        <w:rPr>
          <w:rFonts w:ascii="Palatino Linotype" w:hAnsi="Palatino Linotype"/>
          <w:b/>
          <w:color w:val="003300"/>
        </w:rPr>
      </w:pPr>
    </w:p>
    <w:p w:rsidR="00FB5F40" w:rsidRPr="00825788" w:rsidRDefault="00FB5F40" w:rsidP="0010038A">
      <w:pPr>
        <w:spacing w:after="0" w:line="240" w:lineRule="auto"/>
        <w:rPr>
          <w:rFonts w:ascii="Palatino Linotype" w:hAnsi="Palatino Linotype"/>
          <w:b/>
          <w:color w:val="003300"/>
        </w:rPr>
      </w:pPr>
    </w:p>
    <w:p w:rsidR="00FB5F40" w:rsidRPr="00825788" w:rsidRDefault="00FB5F40" w:rsidP="0010038A">
      <w:pPr>
        <w:spacing w:after="0" w:line="240" w:lineRule="auto"/>
        <w:rPr>
          <w:rFonts w:ascii="Palatino Linotype" w:hAnsi="Palatino Linotype"/>
          <w:b/>
          <w:color w:val="003300"/>
        </w:rPr>
      </w:pPr>
    </w:p>
    <w:p w:rsidR="00FB5F40" w:rsidRPr="00026244" w:rsidRDefault="00FB5F40" w:rsidP="0010038A">
      <w:pPr>
        <w:spacing w:after="0" w:line="240" w:lineRule="auto"/>
        <w:rPr>
          <w:rFonts w:ascii="Palatino Linotype" w:hAnsi="Palatino Linotype"/>
          <w:b/>
          <w:color w:val="003300"/>
          <w:sz w:val="32"/>
          <w:szCs w:val="32"/>
        </w:rPr>
      </w:pPr>
      <w:r w:rsidRPr="00026244">
        <w:rPr>
          <w:rFonts w:ascii="Palatino Linotype" w:hAnsi="Palatino Linotype"/>
          <w:b/>
          <w:color w:val="003300"/>
          <w:sz w:val="32"/>
          <w:szCs w:val="32"/>
        </w:rPr>
        <w:t>СОДЕРЖАНИЕ</w:t>
      </w:r>
    </w:p>
    <w:p w:rsidR="00FB5F40" w:rsidRPr="00026244" w:rsidRDefault="00FB5F40" w:rsidP="0010038A">
      <w:pPr>
        <w:spacing w:after="0" w:line="240" w:lineRule="auto"/>
        <w:rPr>
          <w:rFonts w:ascii="Palatino Linotype" w:hAnsi="Palatino Linotype"/>
          <w:b/>
          <w:color w:val="8064A2"/>
          <w:sz w:val="32"/>
          <w:szCs w:val="32"/>
          <w:lang w:val="en-US"/>
        </w:rPr>
      </w:pPr>
      <w:r w:rsidRPr="00026244">
        <w:rPr>
          <w:rFonts w:ascii="Palatino Linotype" w:hAnsi="Palatino Linotype"/>
          <w:b/>
          <w:color w:val="8064A2"/>
          <w:sz w:val="32"/>
          <w:szCs w:val="32"/>
          <w:lang w:val="en-US"/>
        </w:rPr>
        <w:t>CONTENT</w:t>
      </w:r>
    </w:p>
    <w:p w:rsidR="00FB5F40" w:rsidRPr="00026244" w:rsidRDefault="00FB5F40" w:rsidP="0010038A">
      <w:pPr>
        <w:spacing w:after="0" w:line="240" w:lineRule="auto"/>
        <w:rPr>
          <w:rFonts w:ascii="Palatino Linotype" w:hAnsi="Palatino Linotype"/>
          <w:b/>
          <w:color w:val="8064A2"/>
          <w:lang w:val="en-US"/>
        </w:rPr>
      </w:pPr>
    </w:p>
    <w:p w:rsidR="00FB5F40" w:rsidRPr="00026244" w:rsidRDefault="00FB5F40" w:rsidP="0010038A">
      <w:pPr>
        <w:spacing w:after="0" w:line="240" w:lineRule="auto"/>
        <w:rPr>
          <w:rFonts w:ascii="Palatino Linotype" w:hAnsi="Palatino Linotype"/>
          <w:b/>
          <w:color w:val="8064A2"/>
          <w:lang w:val="en-US"/>
        </w:rPr>
      </w:pPr>
    </w:p>
    <w:p w:rsidR="00FB5F40" w:rsidRPr="00026244" w:rsidRDefault="00FB5F40" w:rsidP="0010038A">
      <w:pPr>
        <w:spacing w:after="0" w:line="240" w:lineRule="auto"/>
        <w:rPr>
          <w:rFonts w:ascii="Palatino Linotype" w:hAnsi="Palatino Linotype"/>
          <w:b/>
          <w:color w:val="8064A2"/>
          <w:lang w:val="en-US"/>
        </w:rPr>
      </w:pPr>
    </w:p>
    <w:p w:rsidR="00FB5F40" w:rsidRPr="00026244" w:rsidRDefault="00FB5F40" w:rsidP="0010038A">
      <w:pPr>
        <w:spacing w:after="0" w:line="240" w:lineRule="auto"/>
        <w:rPr>
          <w:rFonts w:ascii="Palatino Linotype" w:hAnsi="Palatino Linotype"/>
          <w:b/>
          <w:color w:val="8064A2"/>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761"/>
      </w:tblGrid>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rPr>
            </w:pPr>
            <w:r w:rsidRPr="00026244">
              <w:rPr>
                <w:rFonts w:ascii="Palatino Linotype" w:hAnsi="Palatino Linotype"/>
                <w:b/>
                <w:color w:val="8064A2" w:themeColor="accent4"/>
                <w:sz w:val="32"/>
                <w:szCs w:val="32"/>
              </w:rPr>
              <w:t>02</w:t>
            </w:r>
          </w:p>
        </w:tc>
        <w:tc>
          <w:tcPr>
            <w:tcW w:w="8897" w:type="dxa"/>
          </w:tcPr>
          <w:p w:rsidR="003B12EC" w:rsidRPr="00026244" w:rsidRDefault="003B12EC" w:rsidP="003B12EC">
            <w:pPr>
              <w:spacing w:after="0" w:line="240" w:lineRule="auto"/>
              <w:rPr>
                <w:rFonts w:ascii="Palatino Linotype" w:hAnsi="Palatino Linotype"/>
                <w:b/>
                <w:color w:val="003300"/>
                <w:sz w:val="24"/>
                <w:szCs w:val="24"/>
              </w:rPr>
            </w:pPr>
            <w:r w:rsidRPr="00026244">
              <w:rPr>
                <w:rFonts w:ascii="Palatino Linotype" w:hAnsi="Palatino Linotype"/>
                <w:b/>
                <w:color w:val="003300"/>
                <w:sz w:val="24"/>
                <w:szCs w:val="24"/>
              </w:rPr>
              <w:t>ОБРАЩЕНИЕ ПРЕДСЕДАТЕЛЯ ПРАВЛЕНИЯ ГСБ РТ «АМОНАТБОНК»</w:t>
            </w:r>
          </w:p>
        </w:tc>
      </w:tr>
      <w:tr w:rsidR="003B12EC" w:rsidRPr="00BA6FED"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B50351">
            <w:pPr>
              <w:spacing w:after="0" w:line="240" w:lineRule="auto"/>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ADDRESS BY THE CHAIRMAN OF THE BOARD</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003300"/>
                <w:sz w:val="24"/>
                <w:szCs w:val="24"/>
              </w:rPr>
            </w:pPr>
            <w:r w:rsidRPr="00026244">
              <w:rPr>
                <w:rFonts w:ascii="Palatino Linotype" w:hAnsi="Palatino Linotype"/>
                <w:b/>
                <w:color w:val="003300"/>
                <w:sz w:val="24"/>
                <w:szCs w:val="24"/>
              </w:rPr>
              <w:t>СТАНОВЛЕНИЕ ГСБ РТ «АМОНАТБОНК»</w:t>
            </w:r>
          </w:p>
        </w:tc>
      </w:tr>
      <w:tr w:rsidR="003B12EC" w:rsidRPr="00026244"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BANK’S HISTORY</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003300"/>
                <w:sz w:val="24"/>
                <w:szCs w:val="24"/>
                <w:lang w:val="en-US"/>
              </w:rPr>
            </w:pPr>
            <w:r w:rsidRPr="00026244">
              <w:rPr>
                <w:rFonts w:ascii="Palatino Linotype" w:hAnsi="Palatino Linotype"/>
                <w:b/>
                <w:color w:val="003300"/>
                <w:sz w:val="24"/>
                <w:szCs w:val="24"/>
              </w:rPr>
              <w:t>МЕНЕДЖМЕНТ ГСБ РТ «АМОНАТБОНК»</w:t>
            </w:r>
          </w:p>
        </w:tc>
      </w:tr>
      <w:tr w:rsidR="003B12EC" w:rsidRPr="00BA6FED"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MANAGEMENT OF THE SSB RT “AMONATBONK”</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jc w:val="both"/>
              <w:rPr>
                <w:rFonts w:ascii="Palatino Linotype" w:hAnsi="Palatino Linotype"/>
                <w:b/>
                <w:color w:val="003300"/>
                <w:sz w:val="24"/>
                <w:szCs w:val="24"/>
              </w:rPr>
            </w:pPr>
            <w:r w:rsidRPr="00026244">
              <w:rPr>
                <w:rFonts w:ascii="Palatino Linotype" w:hAnsi="Palatino Linotype"/>
                <w:b/>
                <w:color w:val="003300"/>
                <w:sz w:val="24"/>
                <w:szCs w:val="24"/>
              </w:rPr>
              <w:t>ДИНАМИКА РАЗВИТИЯ БАНКА</w:t>
            </w:r>
          </w:p>
        </w:tc>
      </w:tr>
      <w:tr w:rsidR="003B12EC" w:rsidRPr="00026244"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BANK DEVELOPMENT DYNAMICS</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003300"/>
                <w:sz w:val="24"/>
                <w:szCs w:val="24"/>
                <w:lang w:val="en-US"/>
              </w:rPr>
            </w:pPr>
            <w:r w:rsidRPr="00026244">
              <w:rPr>
                <w:rFonts w:ascii="Palatino Linotype" w:hAnsi="Palatino Linotype"/>
                <w:b/>
                <w:color w:val="003300"/>
                <w:sz w:val="24"/>
                <w:szCs w:val="24"/>
                <w:lang w:val="en-US"/>
              </w:rPr>
              <w:t>СОЦИАЛЬНАЯ ПОЛИТИКА БАНКА</w:t>
            </w:r>
          </w:p>
        </w:tc>
      </w:tr>
      <w:tr w:rsidR="003B12EC" w:rsidRPr="00BA6FED"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jc w:val="both"/>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SOCIAL POLICY OF THE BANK</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003300"/>
                <w:sz w:val="24"/>
                <w:szCs w:val="24"/>
                <w:lang w:val="en-US"/>
              </w:rPr>
            </w:pPr>
            <w:r w:rsidRPr="00026244">
              <w:rPr>
                <w:rFonts w:ascii="Palatino Linotype" w:hAnsi="Palatino Linotype"/>
                <w:b/>
                <w:color w:val="003300"/>
                <w:sz w:val="24"/>
                <w:szCs w:val="24"/>
                <w:lang w:val="en-US"/>
              </w:rPr>
              <w:t>КЛИЕНТСКАЯ ПОЛИТИКА БАНКА</w:t>
            </w:r>
          </w:p>
        </w:tc>
      </w:tr>
      <w:tr w:rsidR="003B12EC" w:rsidRPr="00BA6FED"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jc w:val="both"/>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CLIENT ORIENTED POLICY OF THE BANK</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003300"/>
                <w:sz w:val="24"/>
                <w:szCs w:val="24"/>
              </w:rPr>
            </w:pPr>
            <w:r w:rsidRPr="00026244">
              <w:rPr>
                <w:rFonts w:ascii="Palatino Linotype" w:hAnsi="Palatino Linotype"/>
                <w:b/>
                <w:color w:val="003300"/>
                <w:sz w:val="24"/>
                <w:szCs w:val="24"/>
              </w:rPr>
              <w:t>ИНВЕСТИЦИОННАЯ ДЕЯТЕЛЬНОСТЬ И МЕЖБАНКОВСКИЕ ОПЕРАЦИИ</w:t>
            </w:r>
          </w:p>
        </w:tc>
      </w:tr>
      <w:tr w:rsidR="003B12EC" w:rsidRPr="00BA6FED"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INVESTMENT ACTIVITIES AND INTER-BANK TRANSACTIONS</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pStyle w:val="a3"/>
              <w:spacing w:after="0" w:line="240" w:lineRule="auto"/>
              <w:ind w:left="0"/>
              <w:jc w:val="both"/>
              <w:rPr>
                <w:rFonts w:ascii="Palatino Linotype" w:hAnsi="Palatino Linotype"/>
                <w:b/>
                <w:color w:val="003300"/>
                <w:sz w:val="24"/>
                <w:szCs w:val="24"/>
              </w:rPr>
            </w:pPr>
            <w:r w:rsidRPr="00026244">
              <w:rPr>
                <w:rFonts w:ascii="Palatino Linotype" w:hAnsi="Palatino Linotype"/>
                <w:b/>
                <w:color w:val="003300"/>
                <w:sz w:val="24"/>
                <w:szCs w:val="24"/>
              </w:rPr>
              <w:t>КРЕДИТНАЯ ПОЛИТИКА БАНКА</w:t>
            </w:r>
          </w:p>
        </w:tc>
      </w:tr>
      <w:tr w:rsidR="003B12EC" w:rsidRPr="00BA6FED"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pStyle w:val="a3"/>
              <w:spacing w:after="0" w:line="240" w:lineRule="auto"/>
              <w:ind w:left="0"/>
              <w:jc w:val="both"/>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CREDIT POLICY OF THE BANK</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003300"/>
                <w:sz w:val="24"/>
                <w:szCs w:val="24"/>
              </w:rPr>
            </w:pPr>
            <w:r w:rsidRPr="00026244">
              <w:rPr>
                <w:rFonts w:ascii="Palatino Linotype" w:hAnsi="Palatino Linotype"/>
                <w:b/>
                <w:color w:val="003300"/>
                <w:sz w:val="24"/>
                <w:szCs w:val="24"/>
              </w:rPr>
              <w:t>УКРЕПЛЕНИЕ СОТРУДНИЧЕСТВА С МЕЖДУНАРОДНЫМИ ФИНАНСОВЫМИ ИНСТИТУТАМИ</w:t>
            </w:r>
          </w:p>
        </w:tc>
      </w:tr>
      <w:tr w:rsidR="003B12EC" w:rsidRPr="00BA6FED"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STRENGTHENING COOPERATION WITH INTERNATION</w:t>
            </w:r>
            <w:r w:rsidR="000A29D5" w:rsidRPr="00026244">
              <w:rPr>
                <w:rFonts w:ascii="Palatino Linotype" w:hAnsi="Palatino Linotype"/>
                <w:b/>
                <w:color w:val="8064A2" w:themeColor="accent4"/>
                <w:sz w:val="24"/>
                <w:szCs w:val="24"/>
                <w:lang w:val="en-US"/>
              </w:rPr>
              <w:t>A</w:t>
            </w:r>
            <w:r w:rsidRPr="00026244">
              <w:rPr>
                <w:rFonts w:ascii="Palatino Linotype" w:hAnsi="Palatino Linotype"/>
                <w:b/>
                <w:color w:val="8064A2" w:themeColor="accent4"/>
                <w:sz w:val="24"/>
                <w:szCs w:val="24"/>
                <w:lang w:val="en-US"/>
              </w:rPr>
              <w:t>L FINANCIAL INSTITUTIONS</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lang w:val="en-US"/>
              </w:rPr>
            </w:pPr>
          </w:p>
        </w:tc>
        <w:tc>
          <w:tcPr>
            <w:tcW w:w="8897" w:type="dxa"/>
          </w:tcPr>
          <w:p w:rsidR="003B12EC" w:rsidRPr="00026244" w:rsidRDefault="003B12EC" w:rsidP="003B12EC">
            <w:pPr>
              <w:spacing w:after="0" w:line="240" w:lineRule="auto"/>
              <w:rPr>
                <w:rFonts w:ascii="Palatino Linotype" w:hAnsi="Palatino Linotype"/>
                <w:b/>
                <w:color w:val="003300"/>
                <w:sz w:val="24"/>
                <w:szCs w:val="24"/>
              </w:rPr>
            </w:pPr>
            <w:r w:rsidRPr="00026244">
              <w:rPr>
                <w:rFonts w:ascii="Palatino Linotype" w:hAnsi="Palatino Linotype"/>
                <w:b/>
                <w:color w:val="003300"/>
                <w:spacing w:val="-8"/>
                <w:sz w:val="24"/>
                <w:szCs w:val="24"/>
              </w:rPr>
              <w:t>ИНФОРМАЦИОНННЫЕ ТЕХНОЛОГИИ В БАНКЕ</w:t>
            </w:r>
          </w:p>
        </w:tc>
      </w:tr>
      <w:tr w:rsidR="003B12EC" w:rsidRPr="00026244"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rPr>
            </w:pPr>
            <w:r w:rsidRPr="00026244">
              <w:rPr>
                <w:rFonts w:ascii="Palatino Linotype" w:hAnsi="Palatino Linotype"/>
                <w:b/>
                <w:color w:val="8064A2" w:themeColor="accent4"/>
                <w:spacing w:val="-8"/>
                <w:sz w:val="24"/>
                <w:szCs w:val="24"/>
                <w:lang w:val="en-US"/>
              </w:rPr>
              <w:t>BANK</w:t>
            </w:r>
            <w:r w:rsidRPr="00026244">
              <w:rPr>
                <w:rFonts w:ascii="Palatino Linotype" w:hAnsi="Palatino Linotype"/>
                <w:b/>
                <w:color w:val="8064A2" w:themeColor="accent4"/>
                <w:spacing w:val="-8"/>
                <w:sz w:val="24"/>
                <w:szCs w:val="24"/>
              </w:rPr>
              <w:t>’</w:t>
            </w:r>
            <w:r w:rsidRPr="00026244">
              <w:rPr>
                <w:rFonts w:ascii="Palatino Linotype" w:hAnsi="Palatino Linotype"/>
                <w:b/>
                <w:color w:val="8064A2" w:themeColor="accent4"/>
                <w:spacing w:val="-8"/>
                <w:sz w:val="24"/>
                <w:szCs w:val="24"/>
                <w:lang w:val="en-US"/>
              </w:rPr>
              <w:t>S</w:t>
            </w:r>
            <w:r w:rsidRPr="00026244">
              <w:rPr>
                <w:rFonts w:ascii="Palatino Linotype" w:hAnsi="Palatino Linotype"/>
                <w:b/>
                <w:color w:val="8064A2" w:themeColor="accent4"/>
                <w:spacing w:val="-8"/>
                <w:sz w:val="24"/>
                <w:szCs w:val="24"/>
              </w:rPr>
              <w:t xml:space="preserve"> </w:t>
            </w:r>
            <w:r w:rsidRPr="00026244">
              <w:rPr>
                <w:rFonts w:ascii="Palatino Linotype" w:hAnsi="Palatino Linotype"/>
                <w:b/>
                <w:color w:val="8064A2" w:themeColor="accent4"/>
                <w:spacing w:val="-8"/>
                <w:sz w:val="24"/>
                <w:szCs w:val="24"/>
                <w:lang w:val="en-US"/>
              </w:rPr>
              <w:t>IT</w:t>
            </w:r>
            <w:r w:rsidRPr="00026244">
              <w:rPr>
                <w:rFonts w:ascii="Palatino Linotype" w:hAnsi="Palatino Linotype"/>
                <w:b/>
                <w:color w:val="8064A2" w:themeColor="accent4"/>
                <w:spacing w:val="-8"/>
                <w:sz w:val="24"/>
                <w:szCs w:val="24"/>
              </w:rPr>
              <w:t xml:space="preserve"> </w:t>
            </w:r>
            <w:r w:rsidRPr="00026244">
              <w:rPr>
                <w:rFonts w:ascii="Palatino Linotype" w:hAnsi="Palatino Linotype"/>
                <w:b/>
                <w:color w:val="8064A2" w:themeColor="accent4"/>
                <w:spacing w:val="-8"/>
                <w:sz w:val="24"/>
                <w:szCs w:val="24"/>
                <w:lang w:val="en-US"/>
              </w:rPr>
              <w:t>SYSTEM</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rPr>
                <w:rFonts w:ascii="Palatino Linotype" w:hAnsi="Palatino Linotype"/>
                <w:b/>
                <w:color w:val="003300"/>
                <w:sz w:val="24"/>
                <w:szCs w:val="24"/>
              </w:rPr>
            </w:pPr>
            <w:r w:rsidRPr="00026244">
              <w:rPr>
                <w:rFonts w:ascii="Palatino Linotype" w:hAnsi="Palatino Linotype"/>
                <w:b/>
                <w:color w:val="003300"/>
                <w:sz w:val="24"/>
                <w:szCs w:val="24"/>
              </w:rPr>
              <w:t>КАДРОВАЯ ПОЛИТИКА</w:t>
            </w:r>
          </w:p>
        </w:tc>
      </w:tr>
      <w:tr w:rsidR="003B12EC" w:rsidRPr="00026244"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rPr>
            </w:pPr>
            <w:r w:rsidRPr="00026244">
              <w:rPr>
                <w:rFonts w:ascii="Palatino Linotype" w:hAnsi="Palatino Linotype"/>
                <w:b/>
                <w:color w:val="8064A2" w:themeColor="accent4"/>
                <w:sz w:val="24"/>
                <w:szCs w:val="24"/>
                <w:lang w:val="en-US"/>
              </w:rPr>
              <w:t xml:space="preserve">HR POLICY AND </w:t>
            </w:r>
            <w:r w:rsidR="0092260D" w:rsidRPr="00026244">
              <w:rPr>
                <w:rFonts w:ascii="Palatino Linotype" w:hAnsi="Palatino Linotype"/>
                <w:b/>
                <w:color w:val="8064A2" w:themeColor="accent4"/>
                <w:sz w:val="24"/>
                <w:szCs w:val="24"/>
                <w:lang w:val="en-US"/>
              </w:rPr>
              <w:t>P</w:t>
            </w:r>
            <w:r w:rsidRPr="00026244">
              <w:rPr>
                <w:rFonts w:ascii="Palatino Linotype" w:hAnsi="Palatino Linotype"/>
                <w:b/>
                <w:color w:val="8064A2" w:themeColor="accent4"/>
                <w:sz w:val="24"/>
                <w:szCs w:val="24"/>
                <w:lang w:val="en-US"/>
              </w:rPr>
              <w:t>ROCEDURES</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jc w:val="both"/>
              <w:rPr>
                <w:rFonts w:ascii="Palatino Linotype" w:hAnsi="Palatino Linotype"/>
                <w:b/>
                <w:color w:val="003300"/>
                <w:sz w:val="24"/>
                <w:szCs w:val="24"/>
              </w:rPr>
            </w:pPr>
            <w:r w:rsidRPr="00026244">
              <w:rPr>
                <w:rFonts w:ascii="Palatino Linotype" w:hAnsi="Palatino Linotype"/>
                <w:b/>
                <w:sz w:val="24"/>
                <w:szCs w:val="24"/>
                <w:lang w:val="tg-Cyrl-TJ"/>
              </w:rPr>
              <w:t>БЛАГОТВОРИТЕЛЬНОСТЬ БАНКА</w:t>
            </w:r>
          </w:p>
        </w:tc>
      </w:tr>
      <w:tr w:rsidR="003B12EC" w:rsidRPr="00026244"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rPr>
                <w:rFonts w:ascii="Palatino Linotype" w:hAnsi="Palatino Linotype"/>
                <w:b/>
                <w:color w:val="8064A2" w:themeColor="accent4"/>
                <w:sz w:val="24"/>
                <w:szCs w:val="24"/>
              </w:rPr>
            </w:pPr>
            <w:r w:rsidRPr="00026244">
              <w:rPr>
                <w:rFonts w:ascii="Palatino Linotype" w:hAnsi="Palatino Linotype"/>
                <w:b/>
                <w:color w:val="8064A2" w:themeColor="accent4"/>
                <w:sz w:val="24"/>
                <w:szCs w:val="24"/>
                <w:lang w:val="en-US"/>
              </w:rPr>
              <w:t>CHARITY</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ind w:right="-1"/>
              <w:jc w:val="both"/>
              <w:rPr>
                <w:rFonts w:ascii="Palatino Linotype" w:hAnsi="Palatino Linotype"/>
                <w:b/>
                <w:sz w:val="24"/>
                <w:szCs w:val="24"/>
                <w:lang w:val="tg-Cyrl-TJ"/>
              </w:rPr>
            </w:pPr>
            <w:r w:rsidRPr="00026244">
              <w:rPr>
                <w:rFonts w:ascii="Palatino Linotype" w:hAnsi="Palatino Linotype"/>
                <w:b/>
                <w:color w:val="003300"/>
                <w:sz w:val="24"/>
                <w:szCs w:val="24"/>
              </w:rPr>
              <w:t>СТРАТЕГИЯ РАЗВИТИЯ БАНКА</w:t>
            </w:r>
          </w:p>
        </w:tc>
      </w:tr>
      <w:tr w:rsidR="003B12EC" w:rsidRPr="00026244"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ind w:right="-1"/>
              <w:jc w:val="both"/>
              <w:rPr>
                <w:rFonts w:ascii="Palatino Linotype" w:hAnsi="Palatino Linotype"/>
                <w:b/>
                <w:sz w:val="24"/>
                <w:szCs w:val="24"/>
                <w:lang w:val="tg-Cyrl-TJ"/>
              </w:rPr>
            </w:pPr>
            <w:r w:rsidRPr="00026244">
              <w:rPr>
                <w:rFonts w:ascii="Palatino Linotype" w:hAnsi="Palatino Linotype"/>
                <w:b/>
                <w:color w:val="8064A2" w:themeColor="accent4"/>
                <w:sz w:val="24"/>
                <w:szCs w:val="24"/>
                <w:lang w:val="en-US"/>
              </w:rPr>
              <w:t>BANK</w:t>
            </w:r>
            <w:r w:rsidRPr="00026244">
              <w:rPr>
                <w:rFonts w:ascii="Palatino Linotype" w:hAnsi="Palatino Linotype"/>
                <w:b/>
                <w:color w:val="8064A2" w:themeColor="accent4"/>
                <w:sz w:val="24"/>
                <w:szCs w:val="24"/>
              </w:rPr>
              <w:t xml:space="preserve"> </w:t>
            </w:r>
            <w:r w:rsidRPr="00026244">
              <w:rPr>
                <w:rFonts w:ascii="Palatino Linotype" w:hAnsi="Palatino Linotype"/>
                <w:b/>
                <w:color w:val="8064A2" w:themeColor="accent4"/>
                <w:sz w:val="24"/>
                <w:szCs w:val="24"/>
                <w:lang w:val="en-US"/>
              </w:rPr>
              <w:t>DEVELOPMENT</w:t>
            </w:r>
            <w:r w:rsidRPr="00026244">
              <w:rPr>
                <w:rFonts w:ascii="Palatino Linotype" w:hAnsi="Palatino Linotype"/>
                <w:b/>
                <w:color w:val="8064A2" w:themeColor="accent4"/>
                <w:sz w:val="24"/>
                <w:szCs w:val="24"/>
              </w:rPr>
              <w:t xml:space="preserve"> </w:t>
            </w:r>
            <w:r w:rsidRPr="00026244">
              <w:rPr>
                <w:rFonts w:ascii="Palatino Linotype" w:hAnsi="Palatino Linotype"/>
                <w:b/>
                <w:color w:val="8064A2" w:themeColor="accent4"/>
                <w:sz w:val="24"/>
                <w:szCs w:val="24"/>
                <w:lang w:val="en-US"/>
              </w:rPr>
              <w:t>STRATEGY</w:t>
            </w:r>
          </w:p>
        </w:tc>
      </w:tr>
      <w:tr w:rsidR="003B12EC" w:rsidRPr="00026244" w:rsidTr="003B12EC">
        <w:tc>
          <w:tcPr>
            <w:tcW w:w="817" w:type="dxa"/>
            <w:vMerge w:val="restart"/>
            <w:vAlign w:val="center"/>
          </w:tcPr>
          <w:p w:rsidR="003B12EC" w:rsidRPr="00026244" w:rsidRDefault="003B12EC" w:rsidP="003B12EC">
            <w:pPr>
              <w:spacing w:after="0"/>
              <w:jc w:val="center"/>
              <w:rPr>
                <w:rFonts w:ascii="Palatino Linotype" w:hAnsi="Palatino Linotype"/>
                <w:b/>
                <w:color w:val="8064A2" w:themeColor="accent4"/>
                <w:sz w:val="32"/>
                <w:szCs w:val="32"/>
              </w:rPr>
            </w:pPr>
          </w:p>
        </w:tc>
        <w:tc>
          <w:tcPr>
            <w:tcW w:w="8897" w:type="dxa"/>
          </w:tcPr>
          <w:p w:rsidR="003B12EC" w:rsidRPr="00026244" w:rsidRDefault="003B12EC" w:rsidP="003B12EC">
            <w:pPr>
              <w:spacing w:after="0" w:line="240" w:lineRule="auto"/>
              <w:jc w:val="both"/>
              <w:rPr>
                <w:rFonts w:ascii="Palatino Linotype" w:hAnsi="Palatino Linotype"/>
                <w:b/>
                <w:sz w:val="24"/>
                <w:szCs w:val="24"/>
                <w:lang w:val="tg-Cyrl-TJ"/>
              </w:rPr>
            </w:pPr>
            <w:r w:rsidRPr="00026244">
              <w:rPr>
                <w:rFonts w:ascii="Palatino Linotype" w:hAnsi="Palatino Linotype"/>
                <w:b/>
                <w:color w:val="003300"/>
                <w:sz w:val="24"/>
                <w:szCs w:val="24"/>
                <w:lang w:val="tg-Cyrl-TJ"/>
              </w:rPr>
              <w:t>ФИНАНСОВАЯ ОТЧЕТНОСТЬ</w:t>
            </w:r>
          </w:p>
        </w:tc>
      </w:tr>
      <w:tr w:rsidR="003B12EC" w:rsidRPr="00026244" w:rsidTr="003B12EC">
        <w:tc>
          <w:tcPr>
            <w:tcW w:w="817" w:type="dxa"/>
            <w:vMerge/>
            <w:vAlign w:val="center"/>
          </w:tcPr>
          <w:p w:rsidR="003B12EC" w:rsidRPr="00026244" w:rsidRDefault="003B12EC" w:rsidP="003B12EC">
            <w:pPr>
              <w:spacing w:after="0"/>
              <w:jc w:val="center"/>
              <w:rPr>
                <w:rFonts w:ascii="Palatino Linotype" w:hAnsi="Palatino Linotype"/>
                <w:b/>
                <w:color w:val="8064A2" w:themeColor="accent4"/>
              </w:rPr>
            </w:pPr>
          </w:p>
        </w:tc>
        <w:tc>
          <w:tcPr>
            <w:tcW w:w="8897" w:type="dxa"/>
          </w:tcPr>
          <w:p w:rsidR="003B12EC" w:rsidRPr="00026244" w:rsidRDefault="003B12EC" w:rsidP="003B12EC">
            <w:pPr>
              <w:spacing w:after="0" w:line="240" w:lineRule="auto"/>
              <w:jc w:val="both"/>
              <w:rPr>
                <w:rFonts w:ascii="Palatino Linotype" w:hAnsi="Palatino Linotype"/>
                <w:b/>
                <w:color w:val="8064A2" w:themeColor="accent4"/>
                <w:sz w:val="24"/>
                <w:szCs w:val="24"/>
                <w:lang w:val="tg-Cyrl-TJ"/>
              </w:rPr>
            </w:pPr>
            <w:r w:rsidRPr="00026244">
              <w:rPr>
                <w:rFonts w:ascii="Palatino Linotype" w:hAnsi="Palatino Linotype"/>
                <w:b/>
                <w:color w:val="8064A2" w:themeColor="accent4"/>
                <w:sz w:val="24"/>
                <w:szCs w:val="24"/>
                <w:lang w:val="tg-Cyrl-TJ"/>
              </w:rPr>
              <w:t>FINANCIAL STATEMENT</w:t>
            </w:r>
          </w:p>
          <w:p w:rsidR="003B12EC" w:rsidRPr="00026244" w:rsidRDefault="003B12EC" w:rsidP="003B12EC">
            <w:pPr>
              <w:spacing w:after="0" w:line="240" w:lineRule="auto"/>
              <w:jc w:val="both"/>
              <w:rPr>
                <w:rFonts w:ascii="Palatino Linotype" w:hAnsi="Palatino Linotype"/>
                <w:b/>
                <w:color w:val="8064A2" w:themeColor="accent4"/>
                <w:sz w:val="24"/>
                <w:szCs w:val="24"/>
                <w:lang w:val="tg-Cyrl-TJ"/>
              </w:rPr>
            </w:pPr>
          </w:p>
        </w:tc>
      </w:tr>
    </w:tbl>
    <w:p w:rsidR="00FB5F40" w:rsidRPr="00026244" w:rsidRDefault="00FB5F40">
      <w:pPr>
        <w:rPr>
          <w:rFonts w:ascii="Palatino Linotype" w:hAnsi="Palatino Linotype"/>
        </w:rPr>
      </w:pPr>
    </w:p>
    <w:p w:rsidR="00FB5F40" w:rsidRPr="00026244" w:rsidRDefault="00FB5F40">
      <w:pPr>
        <w:rPr>
          <w:rFonts w:ascii="Palatino Linotype" w:hAnsi="Palatino Linotype"/>
        </w:rPr>
      </w:pPr>
    </w:p>
    <w:p w:rsidR="00FB5F40" w:rsidRPr="00026244" w:rsidRDefault="00FB5F40">
      <w:pPr>
        <w:rPr>
          <w:rFonts w:ascii="Palatino Linotype" w:hAnsi="Palatino Linotype"/>
        </w:rPr>
        <w:sectPr w:rsidR="00FB5F40" w:rsidRPr="00026244">
          <w:pgSz w:w="11906" w:h="16838"/>
          <w:pgMar w:top="1134" w:right="850" w:bottom="1134" w:left="1701" w:header="708" w:footer="708" w:gutter="0"/>
          <w:cols w:space="708"/>
          <w:docGrid w:linePitch="360"/>
        </w:sectPr>
      </w:pPr>
    </w:p>
    <w:p w:rsidR="00FB5F40" w:rsidRPr="00026244" w:rsidRDefault="00FB5F40" w:rsidP="0010038A">
      <w:pPr>
        <w:pStyle w:val="2"/>
        <w:rPr>
          <w:rFonts w:ascii="Palatino Linotype" w:hAnsi="Palatino Linotype"/>
          <w:color w:val="006600"/>
          <w:sz w:val="28"/>
          <w:szCs w:val="28"/>
        </w:rPr>
      </w:pPr>
      <w:r w:rsidRPr="00026244">
        <w:rPr>
          <w:rFonts w:ascii="Palatino Linotype" w:hAnsi="Palatino Linotype"/>
          <w:color w:val="006600"/>
          <w:sz w:val="28"/>
          <w:szCs w:val="28"/>
        </w:rPr>
        <w:lastRenderedPageBreak/>
        <w:t>ОБР</w:t>
      </w:r>
      <w:r w:rsidR="000A29D5" w:rsidRPr="00026244">
        <w:rPr>
          <w:rFonts w:ascii="Palatino Linotype" w:hAnsi="Palatino Linotype"/>
          <w:color w:val="006600"/>
          <w:sz w:val="28"/>
          <w:szCs w:val="28"/>
        </w:rPr>
        <w:t>А</w:t>
      </w:r>
      <w:r w:rsidRPr="00026244">
        <w:rPr>
          <w:rFonts w:ascii="Palatino Linotype" w:hAnsi="Palatino Linotype"/>
          <w:color w:val="006600"/>
          <w:sz w:val="28"/>
          <w:szCs w:val="28"/>
        </w:rPr>
        <w:t xml:space="preserve">ЩЕНИЕ ПРЕДСЕДАТЕЛЯ ПРАВЛЕНИЯ </w:t>
      </w:r>
    </w:p>
    <w:p w:rsidR="00FB5F40" w:rsidRPr="00026244" w:rsidRDefault="00FB5F40" w:rsidP="0010038A">
      <w:pPr>
        <w:rPr>
          <w:rFonts w:ascii="Palatino Linotype" w:hAnsi="Palatino Linotype"/>
          <w:b/>
          <w:sz w:val="28"/>
          <w:szCs w:val="28"/>
          <w:lang w:val="en-US"/>
        </w:rPr>
      </w:pPr>
      <w:r w:rsidRPr="00026244">
        <w:rPr>
          <w:rFonts w:ascii="Palatino Linotype" w:hAnsi="Palatino Linotype"/>
          <w:b/>
          <w:bCs/>
          <w:color w:val="8064A2"/>
          <w:sz w:val="28"/>
          <w:szCs w:val="28"/>
          <w:lang w:val="en-US"/>
        </w:rPr>
        <w:t xml:space="preserve">ADDRESS BY THE CHAIRMAN OF </w:t>
      </w:r>
      <w:proofErr w:type="gramStart"/>
      <w:r w:rsidRPr="00026244">
        <w:rPr>
          <w:rFonts w:ascii="Palatino Linotype" w:hAnsi="Palatino Linotype"/>
          <w:b/>
          <w:bCs/>
          <w:color w:val="8064A2"/>
          <w:sz w:val="28"/>
          <w:szCs w:val="28"/>
          <w:lang w:val="en-US"/>
        </w:rPr>
        <w:t>THE  BOARD</w:t>
      </w:r>
      <w:proofErr w:type="gramEnd"/>
    </w:p>
    <w:p w:rsidR="00FB5F40" w:rsidRPr="00026244" w:rsidRDefault="00FB5F40" w:rsidP="0010038A">
      <w:pPr>
        <w:rPr>
          <w:rFonts w:ascii="Palatino Linotype" w:hAnsi="Palatino Linotype"/>
          <w:b/>
          <w:color w:val="006600"/>
          <w:lang w:val="en-US"/>
        </w:rPr>
        <w:sectPr w:rsidR="00FB5F40" w:rsidRPr="00026244" w:rsidSect="00020B69">
          <w:type w:val="continuous"/>
          <w:pgSz w:w="11906" w:h="16838"/>
          <w:pgMar w:top="1134" w:right="850" w:bottom="1134" w:left="1134" w:header="708" w:footer="708" w:gutter="0"/>
          <w:cols w:space="568"/>
          <w:docGrid w:linePitch="360"/>
        </w:sectPr>
      </w:pPr>
    </w:p>
    <w:p w:rsidR="00FB5F40" w:rsidRPr="00026244" w:rsidRDefault="00FB5F40" w:rsidP="0010038A">
      <w:pPr>
        <w:rPr>
          <w:rFonts w:ascii="Palatino Linotype" w:hAnsi="Palatino Linotype"/>
          <w:b/>
          <w:color w:val="006600"/>
        </w:rPr>
      </w:pPr>
      <w:r w:rsidRPr="00026244">
        <w:rPr>
          <w:rFonts w:ascii="Palatino Linotype" w:hAnsi="Palatino Linotype"/>
          <w:b/>
          <w:color w:val="006600"/>
        </w:rPr>
        <w:lastRenderedPageBreak/>
        <w:t>Уважаемые клиенты  и партнеры!</w:t>
      </w:r>
    </w:p>
    <w:p w:rsidR="00FB5F40" w:rsidRPr="00026244" w:rsidRDefault="00FB5F40" w:rsidP="0010038A">
      <w:pPr>
        <w:jc w:val="both"/>
        <w:rPr>
          <w:rFonts w:ascii="Palatino Linotype" w:hAnsi="Palatino Linotype"/>
        </w:rPr>
      </w:pPr>
      <w:r w:rsidRPr="00026244">
        <w:rPr>
          <w:rFonts w:ascii="Palatino Linotype" w:hAnsi="Palatino Linotype"/>
        </w:rPr>
        <w:t xml:space="preserve">     Я с удовлетворением представляю вам годовой отчет  ГСБ РТ «</w:t>
      </w:r>
      <w:proofErr w:type="spellStart"/>
      <w:r w:rsidRPr="00026244">
        <w:rPr>
          <w:rFonts w:ascii="Palatino Linotype" w:hAnsi="Palatino Linotype"/>
        </w:rPr>
        <w:t>Амонатбонк</w:t>
      </w:r>
      <w:proofErr w:type="spellEnd"/>
      <w:r w:rsidRPr="00026244">
        <w:rPr>
          <w:rFonts w:ascii="Palatino Linotype" w:hAnsi="Palatino Linotype"/>
        </w:rPr>
        <w:t>» за 2011 год, ставший самым успешным годом в посткризисный период.</w:t>
      </w:r>
    </w:p>
    <w:p w:rsidR="00FB5F40" w:rsidRPr="00026244" w:rsidRDefault="00FB5F40" w:rsidP="0010038A">
      <w:pPr>
        <w:jc w:val="both"/>
        <w:rPr>
          <w:rFonts w:ascii="Palatino Linotype" w:hAnsi="Palatino Linotype"/>
        </w:rPr>
      </w:pPr>
      <w:r w:rsidRPr="00026244">
        <w:rPr>
          <w:rFonts w:ascii="Palatino Linotype" w:hAnsi="Palatino Linotype"/>
        </w:rPr>
        <w:t xml:space="preserve">   Динамика  развития  и  финансовый  результат  красноречиво свидетельствуют о том, что банк смог занять достойное место на рынке банковских услуг республики и получить признание  со  стороны  наших клиентов и партнеров.   </w:t>
      </w:r>
    </w:p>
    <w:p w:rsidR="00FB5F40" w:rsidRPr="00026244" w:rsidRDefault="00FB5F40" w:rsidP="0010038A">
      <w:pPr>
        <w:jc w:val="both"/>
        <w:rPr>
          <w:rFonts w:ascii="Palatino Linotype" w:hAnsi="Palatino Linotype"/>
        </w:rPr>
      </w:pPr>
      <w:r w:rsidRPr="00026244">
        <w:rPr>
          <w:rFonts w:ascii="Palatino Linotype" w:hAnsi="Palatino Linotype"/>
        </w:rPr>
        <w:t xml:space="preserve">  По итогам года Амонатбанк в 2011 году существенно нарастил объем привлеченных средств  розничных клиентов. Так, этот сегмент по сравнению с прошлым годом увеличился на 78%. Эти успехи мы связываем с растущим доверием к банку со стороны частных  клиентов. </w:t>
      </w:r>
    </w:p>
    <w:p w:rsidR="00FB5F40" w:rsidRPr="00026244" w:rsidRDefault="00FB5F40" w:rsidP="0010038A">
      <w:pPr>
        <w:jc w:val="both"/>
        <w:rPr>
          <w:rFonts w:ascii="Palatino Linotype" w:hAnsi="Palatino Linotype"/>
        </w:rPr>
      </w:pPr>
      <w:r w:rsidRPr="00026244">
        <w:rPr>
          <w:rFonts w:ascii="Palatino Linotype" w:hAnsi="Palatino Linotype"/>
        </w:rPr>
        <w:t xml:space="preserve">     В 2011 году банк выступил активным участником рынка межбанковского кредитования рынка валютных операций и ценных бумаг, что позволило увеличить доходы банка. </w:t>
      </w:r>
    </w:p>
    <w:p w:rsidR="00FB5F40" w:rsidRPr="00026244" w:rsidRDefault="00FB5F40" w:rsidP="0010038A">
      <w:pPr>
        <w:jc w:val="both"/>
        <w:rPr>
          <w:rFonts w:ascii="Palatino Linotype" w:hAnsi="Palatino Linotype"/>
        </w:rPr>
      </w:pPr>
      <w:r w:rsidRPr="00026244">
        <w:rPr>
          <w:rFonts w:ascii="Palatino Linotype" w:hAnsi="Palatino Linotype"/>
        </w:rPr>
        <w:t xml:space="preserve">     В результате в отчетном году Банк достиг одного из лучших результатов по чистой прибыли и заработал более 10 млн. </w:t>
      </w:r>
      <w:proofErr w:type="spellStart"/>
      <w:r w:rsidRPr="00026244">
        <w:rPr>
          <w:rFonts w:ascii="Palatino Linotype" w:hAnsi="Palatino Linotype"/>
        </w:rPr>
        <w:t>сомони</w:t>
      </w:r>
      <w:proofErr w:type="spellEnd"/>
      <w:r w:rsidRPr="00026244">
        <w:rPr>
          <w:rFonts w:ascii="Palatino Linotype" w:hAnsi="Palatino Linotype"/>
        </w:rPr>
        <w:t xml:space="preserve">  превзойдя показатель прошлого года более чем в 2 раза, что является достойным финансовым результатом роста капитала при возрастающей конкуренции на рынке банковских услуг.</w:t>
      </w:r>
    </w:p>
    <w:p w:rsidR="00FB5F40" w:rsidRPr="00026244" w:rsidRDefault="00FB5F40" w:rsidP="0010038A">
      <w:pPr>
        <w:jc w:val="both"/>
        <w:rPr>
          <w:rFonts w:ascii="Palatino Linotype" w:hAnsi="Palatino Linotype"/>
        </w:rPr>
      </w:pPr>
      <w:r w:rsidRPr="00026244">
        <w:rPr>
          <w:rFonts w:ascii="Palatino Linotype" w:hAnsi="Palatino Linotype"/>
        </w:rPr>
        <w:t xml:space="preserve">Банк стал одним из самых динамично растущих банков республики. </w:t>
      </w:r>
    </w:p>
    <w:p w:rsidR="00766A11" w:rsidRPr="00026244" w:rsidRDefault="00766A11" w:rsidP="0010038A">
      <w:pPr>
        <w:rPr>
          <w:rFonts w:ascii="Palatino Linotype" w:hAnsi="Palatino Linotype"/>
          <w:b/>
          <w:color w:val="8064A2"/>
        </w:rPr>
      </w:pPr>
    </w:p>
    <w:p w:rsidR="00FB5F40" w:rsidRPr="00026244" w:rsidRDefault="00FB5F40" w:rsidP="0010038A">
      <w:pPr>
        <w:rPr>
          <w:rFonts w:ascii="Palatino Linotype" w:hAnsi="Palatino Linotype"/>
          <w:b/>
          <w:color w:val="8064A2"/>
          <w:lang w:val="en-US"/>
        </w:rPr>
      </w:pPr>
      <w:r w:rsidRPr="00026244">
        <w:rPr>
          <w:rFonts w:ascii="Palatino Linotype" w:hAnsi="Palatino Linotype"/>
          <w:b/>
          <w:color w:val="8064A2"/>
          <w:lang w:val="en-US"/>
        </w:rPr>
        <w:lastRenderedPageBreak/>
        <w:t>Dear colleagues and partners!</w:t>
      </w:r>
    </w:p>
    <w:p w:rsidR="00FB5F40" w:rsidRPr="00026244" w:rsidRDefault="00FB5F40" w:rsidP="0010038A">
      <w:pPr>
        <w:jc w:val="both"/>
        <w:rPr>
          <w:rFonts w:ascii="Palatino Linotype" w:hAnsi="Palatino Linotype"/>
          <w:lang w:val="en-US"/>
        </w:rPr>
      </w:pPr>
      <w:r w:rsidRPr="00026244">
        <w:rPr>
          <w:rFonts w:ascii="Palatino Linotype" w:hAnsi="Palatino Linotype"/>
          <w:lang w:val="en-US"/>
        </w:rPr>
        <w:t>It is with great pleasure that I present an annual report of the SSB RT “</w:t>
      </w:r>
      <w:proofErr w:type="spellStart"/>
      <w:r w:rsidRPr="00026244">
        <w:rPr>
          <w:rFonts w:ascii="Palatino Linotype" w:hAnsi="Palatino Linotype"/>
          <w:lang w:val="en-US"/>
        </w:rPr>
        <w:t>Amonatbonk</w:t>
      </w:r>
      <w:proofErr w:type="spellEnd"/>
      <w:r w:rsidRPr="00026244">
        <w:rPr>
          <w:rFonts w:ascii="Palatino Linotype" w:hAnsi="Palatino Linotype"/>
          <w:lang w:val="en-US"/>
        </w:rPr>
        <w:t>” for 2011 which turned the most successful year for us in the post crisis period</w:t>
      </w:r>
      <w:proofErr w:type="gramStart"/>
      <w:r w:rsidRPr="00026244">
        <w:rPr>
          <w:rFonts w:ascii="Palatino Linotype" w:hAnsi="Palatino Linotype"/>
          <w:lang w:val="en-US"/>
        </w:rPr>
        <w:t>..</w:t>
      </w:r>
      <w:proofErr w:type="gramEnd"/>
    </w:p>
    <w:p w:rsidR="00FB5F40" w:rsidRPr="00026244" w:rsidRDefault="00FB5F40" w:rsidP="0010038A">
      <w:pPr>
        <w:jc w:val="both"/>
        <w:rPr>
          <w:rFonts w:ascii="Palatino Linotype" w:hAnsi="Palatino Linotype"/>
          <w:lang w:val="en-US"/>
        </w:rPr>
      </w:pPr>
      <w:r w:rsidRPr="00026244">
        <w:rPr>
          <w:rFonts w:ascii="Palatino Linotype" w:hAnsi="Palatino Linotype"/>
          <w:lang w:val="en-US"/>
        </w:rPr>
        <w:t xml:space="preserve">   Development dynamics and financial results for this year significantly evidence that </w:t>
      </w:r>
      <w:proofErr w:type="spellStart"/>
      <w:r w:rsidRPr="00026244">
        <w:rPr>
          <w:rFonts w:ascii="Palatino Linotype" w:hAnsi="Palatino Linotype"/>
          <w:lang w:val="en-US"/>
        </w:rPr>
        <w:t>Amonatb</w:t>
      </w:r>
      <w:r w:rsidR="00B930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could take deserved position in the market of banking services and earn acknowledgment from its clients and partners.   </w:t>
      </w:r>
    </w:p>
    <w:p w:rsidR="00FB5F40" w:rsidRPr="00026244" w:rsidRDefault="00FB5F40" w:rsidP="0010038A">
      <w:pPr>
        <w:pStyle w:val="a5"/>
        <w:rPr>
          <w:rFonts w:ascii="Palatino Linotype" w:hAnsi="Palatino Linotype"/>
          <w:lang w:val="en-US"/>
        </w:rPr>
      </w:pPr>
    </w:p>
    <w:p w:rsidR="00FB5F40" w:rsidRPr="00026244" w:rsidRDefault="00FB5F40" w:rsidP="0010038A">
      <w:pPr>
        <w:jc w:val="both"/>
        <w:rPr>
          <w:rFonts w:ascii="Palatino Linotype" w:hAnsi="Palatino Linotype"/>
          <w:lang w:val="en-US"/>
        </w:rPr>
      </w:pPr>
      <w:r w:rsidRPr="00026244">
        <w:rPr>
          <w:rFonts w:ascii="Palatino Linotype" w:hAnsi="Palatino Linotype"/>
          <w:lang w:val="en-US"/>
        </w:rPr>
        <w:t xml:space="preserve">By the end of 2011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considerably increased the volume of attracted funds of its retail clients. Thus, in comparison with past year this segment increased by 78 %. We connect this success with the growing trust of individual clients to the Bank. </w:t>
      </w:r>
    </w:p>
    <w:p w:rsidR="00FB5F40" w:rsidRPr="00026244" w:rsidRDefault="00FB5F40" w:rsidP="0010038A">
      <w:pPr>
        <w:jc w:val="both"/>
        <w:rPr>
          <w:rFonts w:ascii="Palatino Linotype" w:hAnsi="Palatino Linotype"/>
          <w:lang w:val="en-US"/>
        </w:rPr>
      </w:pPr>
      <w:r w:rsidRPr="00026244">
        <w:rPr>
          <w:rFonts w:ascii="Palatino Linotype" w:hAnsi="Palatino Linotype"/>
          <w:lang w:val="en-US"/>
        </w:rPr>
        <w:t xml:space="preserve">     In 2011 </w:t>
      </w:r>
      <w:proofErr w:type="spellStart"/>
      <w:r w:rsidRPr="00026244">
        <w:rPr>
          <w:rFonts w:ascii="Palatino Linotype" w:hAnsi="Palatino Linotype"/>
          <w:lang w:val="en-US"/>
        </w:rPr>
        <w:t>Amonatbank</w:t>
      </w:r>
      <w:proofErr w:type="spellEnd"/>
      <w:r w:rsidRPr="00026244">
        <w:rPr>
          <w:rFonts w:ascii="Palatino Linotype" w:hAnsi="Palatino Linotype"/>
          <w:lang w:val="en-US"/>
        </w:rPr>
        <w:t xml:space="preserve"> took an active part in the market of inter-bank crediting, market of currency transactions and securities and it resulted in increase in the revenue of the Bank. </w:t>
      </w:r>
    </w:p>
    <w:p w:rsidR="00FB5F40" w:rsidRPr="00026244" w:rsidRDefault="00FB5F40" w:rsidP="0010038A">
      <w:pPr>
        <w:jc w:val="both"/>
        <w:rPr>
          <w:rFonts w:ascii="Palatino Linotype" w:hAnsi="Palatino Linotype"/>
          <w:lang w:val="en-US"/>
        </w:rPr>
      </w:pPr>
      <w:r w:rsidRPr="00026244">
        <w:rPr>
          <w:rFonts w:ascii="Palatino Linotype" w:hAnsi="Palatino Linotype"/>
          <w:lang w:val="en-US"/>
        </w:rPr>
        <w:t xml:space="preserve">     As a result in the reporting year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achieved one of the best results in net profit and earned more than 1</w:t>
      </w:r>
      <w:r w:rsidR="00871A80" w:rsidRPr="00026244">
        <w:rPr>
          <w:rFonts w:ascii="Palatino Linotype" w:hAnsi="Palatino Linotype"/>
          <w:lang w:val="en-US"/>
        </w:rPr>
        <w:t>0</w:t>
      </w:r>
      <w:r w:rsidRPr="00026244">
        <w:rPr>
          <w:rFonts w:ascii="Palatino Linotype" w:hAnsi="Palatino Linotype"/>
          <w:lang w:val="en-US"/>
        </w:rPr>
        <w:t xml:space="preserve"> million TJS two times surpassing the indicators of the past year. It is considered as significant financial result for raising </w:t>
      </w:r>
      <w:proofErr w:type="gramStart"/>
      <w:r w:rsidRPr="00026244">
        <w:rPr>
          <w:rFonts w:ascii="Palatino Linotype" w:hAnsi="Palatino Linotype"/>
          <w:lang w:val="en-US"/>
        </w:rPr>
        <w:t>capital  given</w:t>
      </w:r>
      <w:proofErr w:type="gramEnd"/>
      <w:r w:rsidRPr="00026244">
        <w:rPr>
          <w:rFonts w:ascii="Palatino Linotype" w:hAnsi="Palatino Linotype"/>
          <w:lang w:val="en-US"/>
        </w:rPr>
        <w:t xml:space="preserve"> that  the competition in the market of banking services tends to increase.   </w:t>
      </w:r>
    </w:p>
    <w:p w:rsidR="00FB5F40" w:rsidRPr="00026244" w:rsidRDefault="00FB5F40" w:rsidP="0010038A">
      <w:pPr>
        <w:jc w:val="both"/>
        <w:rPr>
          <w:rFonts w:ascii="Palatino Linotype" w:hAnsi="Palatino Linotype"/>
          <w:lang w:val="en-US"/>
        </w:rPr>
      </w:pP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has become one of the rapid-growing banks in Tajikistan. </w:t>
      </w:r>
    </w:p>
    <w:p w:rsidR="00FB5F40" w:rsidRPr="00026244" w:rsidRDefault="00FB5F40" w:rsidP="0010038A">
      <w:pPr>
        <w:rPr>
          <w:rFonts w:ascii="Palatino Linotype" w:hAnsi="Palatino Linotype"/>
          <w:b/>
          <w:lang w:val="en-US"/>
        </w:rPr>
      </w:pPr>
    </w:p>
    <w:p w:rsidR="00FB5F40" w:rsidRPr="00026244" w:rsidRDefault="00FB5F40" w:rsidP="0010038A">
      <w:pPr>
        <w:rPr>
          <w:rFonts w:ascii="Palatino Linotype" w:hAnsi="Palatino Linotype"/>
          <w:b/>
          <w:lang w:val="en-US"/>
        </w:rPr>
      </w:pPr>
    </w:p>
    <w:p w:rsidR="00766A11" w:rsidRPr="00026244" w:rsidRDefault="00766A11" w:rsidP="0010038A">
      <w:pPr>
        <w:rPr>
          <w:rFonts w:ascii="Palatino Linotype" w:hAnsi="Palatino Linotype"/>
          <w:b/>
          <w:lang w:val="en-US"/>
        </w:rPr>
      </w:pPr>
    </w:p>
    <w:p w:rsidR="00FB5F40" w:rsidRPr="00026244" w:rsidRDefault="00FB5F40" w:rsidP="0010038A">
      <w:pPr>
        <w:rPr>
          <w:rFonts w:ascii="Palatino Linotype" w:hAnsi="Palatino Linotype"/>
          <w:b/>
        </w:rPr>
      </w:pPr>
      <w:r w:rsidRPr="00026244">
        <w:rPr>
          <w:rFonts w:ascii="Palatino Linotype" w:hAnsi="Palatino Linotype"/>
          <w:b/>
          <w:noProof/>
          <w:lang w:eastAsia="ru-RU"/>
        </w:rPr>
        <w:lastRenderedPageBreak/>
        <w:t>ФОТО РАИСА</w:t>
      </w: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pPr>
    </w:p>
    <w:p w:rsidR="00FB5F40" w:rsidRPr="00026244" w:rsidRDefault="00FB5F40" w:rsidP="0010038A">
      <w:pPr>
        <w:jc w:val="both"/>
        <w:rPr>
          <w:rFonts w:ascii="Palatino Linotype" w:hAnsi="Palatino Linotype"/>
        </w:rPr>
        <w:sectPr w:rsidR="00FB5F40" w:rsidRPr="00026244" w:rsidSect="00A23DC1">
          <w:type w:val="continuous"/>
          <w:pgSz w:w="11906" w:h="16838"/>
          <w:pgMar w:top="1134" w:right="850" w:bottom="1134" w:left="1134" w:header="708" w:footer="708" w:gutter="0"/>
          <w:cols w:num="2" w:space="568"/>
          <w:docGrid w:linePitch="360"/>
        </w:sectPr>
      </w:pPr>
    </w:p>
    <w:p w:rsidR="00FB5F40" w:rsidRPr="00026244" w:rsidRDefault="00FB5F40" w:rsidP="0010038A">
      <w:pPr>
        <w:jc w:val="both"/>
        <w:rPr>
          <w:rFonts w:ascii="Palatino Linotype" w:hAnsi="Palatino Linotype"/>
        </w:rPr>
      </w:pPr>
      <w:r w:rsidRPr="00026244">
        <w:rPr>
          <w:rFonts w:ascii="Palatino Linotype" w:hAnsi="Palatino Linotype"/>
        </w:rPr>
        <w:lastRenderedPageBreak/>
        <w:t>Мы понимаем, что достигнутые результаты – это прочная основа для дальнейшего развития Банка. Мы намерены добиваться еще больших успехов в выбранных нами сегментах, повышая квалификацию сотрудников, создавая новые продукты и внедряя  новые технологии.</w:t>
      </w:r>
    </w:p>
    <w:p w:rsidR="00FB5F40" w:rsidRPr="00026244" w:rsidRDefault="00FB5F40" w:rsidP="0010038A">
      <w:pPr>
        <w:jc w:val="both"/>
        <w:rPr>
          <w:rFonts w:ascii="Palatino Linotype" w:hAnsi="Palatino Linotype"/>
        </w:rPr>
      </w:pPr>
      <w:r w:rsidRPr="00026244">
        <w:rPr>
          <w:rFonts w:ascii="Palatino Linotype" w:hAnsi="Palatino Linotype"/>
        </w:rPr>
        <w:t xml:space="preserve">     Я благодарна </w:t>
      </w:r>
      <w:r w:rsidR="00B50351">
        <w:rPr>
          <w:rFonts w:ascii="Palatino Linotype" w:hAnsi="Palatino Linotype"/>
        </w:rPr>
        <w:t>клиентам и партнерам Банка за благотворное сотрудничество, которое помогло достичь нам таких результатов в 2011 году.</w:t>
      </w:r>
      <w:r w:rsidRPr="00026244">
        <w:rPr>
          <w:rFonts w:ascii="Palatino Linotype" w:hAnsi="Palatino Linotype"/>
        </w:rPr>
        <w:t xml:space="preserve"> В 2012 году мы будем использовать новые возможности и намерены активно укреплять отношения с нашими клиентами и партнерами.</w:t>
      </w:r>
    </w:p>
    <w:p w:rsidR="00FB5F40" w:rsidRPr="00026244" w:rsidRDefault="00FB5F40" w:rsidP="00524F8D">
      <w:pPr>
        <w:spacing w:after="0" w:line="240" w:lineRule="auto"/>
        <w:jc w:val="right"/>
        <w:rPr>
          <w:rFonts w:ascii="Palatino Linotype" w:hAnsi="Palatino Linotype"/>
          <w:lang w:val="en-US"/>
        </w:rPr>
      </w:pPr>
      <w:r w:rsidRPr="00026244">
        <w:rPr>
          <w:rFonts w:ascii="Palatino Linotype" w:hAnsi="Palatino Linotype"/>
        </w:rPr>
        <w:t>Председатель</w:t>
      </w:r>
      <w:r w:rsidR="003B12EC" w:rsidRPr="00026244">
        <w:rPr>
          <w:rFonts w:ascii="Palatino Linotype" w:hAnsi="Palatino Linotype"/>
          <w:lang w:val="en-US"/>
        </w:rPr>
        <w:t xml:space="preserve"> </w:t>
      </w:r>
      <w:r w:rsidRPr="00026244">
        <w:rPr>
          <w:rFonts w:ascii="Palatino Linotype" w:hAnsi="Palatino Linotype"/>
        </w:rPr>
        <w:t>Правления</w:t>
      </w:r>
    </w:p>
    <w:p w:rsidR="00FB5F40" w:rsidRPr="00026244" w:rsidRDefault="00FB5F40" w:rsidP="00524F8D">
      <w:pPr>
        <w:spacing w:after="0" w:line="240" w:lineRule="auto"/>
        <w:jc w:val="right"/>
        <w:rPr>
          <w:rFonts w:ascii="Palatino Linotype" w:hAnsi="Palatino Linotype"/>
          <w:lang w:val="en-US"/>
        </w:rPr>
      </w:pPr>
      <w:r w:rsidRPr="00026244">
        <w:rPr>
          <w:rFonts w:ascii="Palatino Linotype" w:hAnsi="Palatino Linotype"/>
        </w:rPr>
        <w:t>Хасанова</w:t>
      </w:r>
      <w:r w:rsidR="003B12EC" w:rsidRPr="00026244">
        <w:rPr>
          <w:rFonts w:ascii="Palatino Linotype" w:hAnsi="Palatino Linotype"/>
          <w:lang w:val="en-US"/>
        </w:rPr>
        <w:t xml:space="preserve"> </w:t>
      </w:r>
      <w:proofErr w:type="spellStart"/>
      <w:r w:rsidRPr="00026244">
        <w:rPr>
          <w:rFonts w:ascii="Palatino Linotype" w:hAnsi="Palatino Linotype"/>
        </w:rPr>
        <w:t>Гульнора</w:t>
      </w:r>
      <w:proofErr w:type="spellEnd"/>
      <w:r w:rsidR="003B12EC" w:rsidRPr="00026244">
        <w:rPr>
          <w:rFonts w:ascii="Palatino Linotype" w:hAnsi="Palatino Linotype"/>
          <w:lang w:val="en-US"/>
        </w:rPr>
        <w:t xml:space="preserve"> </w:t>
      </w:r>
      <w:proofErr w:type="spellStart"/>
      <w:r w:rsidRPr="00026244">
        <w:rPr>
          <w:rFonts w:ascii="Palatino Linotype" w:hAnsi="Palatino Linotype"/>
        </w:rPr>
        <w:t>Кенджаевна</w:t>
      </w:r>
      <w:proofErr w:type="spellEnd"/>
    </w:p>
    <w:p w:rsidR="00FB5F40" w:rsidRPr="00026244" w:rsidRDefault="00FB5F40" w:rsidP="00A23DC1">
      <w:pPr>
        <w:jc w:val="both"/>
        <w:rPr>
          <w:rFonts w:ascii="Palatino Linotype" w:hAnsi="Palatino Linotype"/>
          <w:lang w:val="en-US"/>
        </w:rPr>
      </w:pPr>
    </w:p>
    <w:p w:rsidR="00FB5F40" w:rsidRPr="00026244" w:rsidRDefault="00FB5F40" w:rsidP="00A23DC1">
      <w:pPr>
        <w:jc w:val="both"/>
        <w:rPr>
          <w:rFonts w:ascii="Palatino Linotype" w:hAnsi="Palatino Linotype"/>
          <w:lang w:val="en-US"/>
        </w:rPr>
      </w:pPr>
    </w:p>
    <w:p w:rsidR="00FB5F40" w:rsidRPr="00026244" w:rsidRDefault="00FB5F40" w:rsidP="00A23DC1">
      <w:pPr>
        <w:jc w:val="both"/>
        <w:rPr>
          <w:rFonts w:ascii="Palatino Linotype" w:hAnsi="Palatino Linotype"/>
          <w:lang w:val="en-US"/>
        </w:rPr>
      </w:pPr>
    </w:p>
    <w:p w:rsidR="00FB5F40" w:rsidRPr="00026244" w:rsidRDefault="00FB5F40" w:rsidP="00A23DC1">
      <w:pPr>
        <w:jc w:val="both"/>
        <w:rPr>
          <w:rFonts w:ascii="Palatino Linotype" w:hAnsi="Palatino Linotype"/>
          <w:lang w:val="en-US"/>
        </w:rPr>
      </w:pPr>
      <w:r w:rsidRPr="00026244">
        <w:rPr>
          <w:rFonts w:ascii="Palatino Linotype" w:hAnsi="Palatino Linotype"/>
          <w:lang w:val="en-US"/>
        </w:rPr>
        <w:lastRenderedPageBreak/>
        <w:t>We understand that the achieved results are a firm basis for further development of the Bank. We intend to gain better results in the focused segments by improving the qualification of the staff, developing new products and introducing new technology.</w:t>
      </w:r>
    </w:p>
    <w:p w:rsidR="00FB5F40" w:rsidRPr="00026244" w:rsidRDefault="00FB5F40" w:rsidP="00A23DC1">
      <w:pPr>
        <w:jc w:val="both"/>
        <w:rPr>
          <w:rFonts w:ascii="Palatino Linotype" w:hAnsi="Palatino Linotype"/>
          <w:lang w:val="en-US"/>
        </w:rPr>
      </w:pPr>
    </w:p>
    <w:p w:rsidR="00FB5F40" w:rsidRPr="00026244" w:rsidRDefault="00FB5F40" w:rsidP="00A23DC1">
      <w:pPr>
        <w:jc w:val="both"/>
        <w:rPr>
          <w:rFonts w:ascii="Palatino Linotype" w:hAnsi="Palatino Linotype"/>
          <w:lang w:val="en-US"/>
        </w:rPr>
      </w:pPr>
      <w:r w:rsidRPr="00026244">
        <w:rPr>
          <w:rFonts w:ascii="Palatino Linotype" w:hAnsi="Palatino Linotype"/>
          <w:lang w:val="en-US"/>
        </w:rPr>
        <w:t xml:space="preserve">   I </w:t>
      </w:r>
      <w:r w:rsidR="00B50351">
        <w:rPr>
          <w:rFonts w:ascii="Palatino Linotype" w:hAnsi="Palatino Linotype"/>
          <w:lang w:val="en-US"/>
        </w:rPr>
        <w:t xml:space="preserve">am grateful to the clients and partners of </w:t>
      </w:r>
      <w:proofErr w:type="spellStart"/>
      <w:r w:rsidR="00B50351">
        <w:rPr>
          <w:rFonts w:ascii="Palatino Linotype" w:hAnsi="Palatino Linotype"/>
          <w:lang w:val="en-US"/>
        </w:rPr>
        <w:t>Amonatbank</w:t>
      </w:r>
      <w:proofErr w:type="spellEnd"/>
      <w:r w:rsidR="00B50351">
        <w:rPr>
          <w:rFonts w:ascii="Palatino Linotype" w:hAnsi="Palatino Linotype"/>
          <w:lang w:val="en-US"/>
        </w:rPr>
        <w:t xml:space="preserve"> for their cooperation which produced such a great results in 2011.</w:t>
      </w:r>
      <w:r w:rsidRPr="00026244">
        <w:rPr>
          <w:rFonts w:ascii="Palatino Linotype" w:hAnsi="Palatino Linotype"/>
          <w:lang w:val="en-US"/>
        </w:rPr>
        <w:t xml:space="preserve"> In 2012 we will use new opportunities and intend actively cooperate with our clients and Partners.</w:t>
      </w:r>
    </w:p>
    <w:p w:rsidR="00FB5F40" w:rsidRPr="00026244" w:rsidRDefault="00FB5F40" w:rsidP="00A23DC1">
      <w:pPr>
        <w:jc w:val="both"/>
        <w:rPr>
          <w:rFonts w:ascii="Palatino Linotype" w:hAnsi="Palatino Linotype"/>
          <w:lang w:val="en-US"/>
        </w:rPr>
      </w:pPr>
    </w:p>
    <w:p w:rsidR="00FB5F40" w:rsidRPr="00026244" w:rsidRDefault="00FB5F40" w:rsidP="00524F8D">
      <w:pPr>
        <w:spacing w:after="0" w:line="240" w:lineRule="auto"/>
        <w:jc w:val="right"/>
        <w:rPr>
          <w:rFonts w:ascii="Palatino Linotype" w:hAnsi="Palatino Linotype"/>
          <w:lang w:val="en-US"/>
        </w:rPr>
      </w:pPr>
      <w:r w:rsidRPr="00026244">
        <w:rPr>
          <w:rFonts w:ascii="Palatino Linotype" w:hAnsi="Palatino Linotype"/>
          <w:lang w:val="en-US"/>
        </w:rPr>
        <w:t>Chairman of the Board</w:t>
      </w:r>
    </w:p>
    <w:p w:rsidR="00FB5F40" w:rsidRPr="00026244" w:rsidRDefault="00FB5F40" w:rsidP="00524F8D">
      <w:pPr>
        <w:jc w:val="right"/>
        <w:rPr>
          <w:rFonts w:ascii="Palatino Linotype" w:hAnsi="Palatino Linotype"/>
          <w:lang w:val="en-US"/>
        </w:rPr>
      </w:pPr>
      <w:proofErr w:type="spellStart"/>
      <w:r w:rsidRPr="00026244">
        <w:rPr>
          <w:rFonts w:ascii="Palatino Linotype" w:hAnsi="Palatino Linotype"/>
          <w:lang w:val="en-US"/>
        </w:rPr>
        <w:t>Hasanova</w:t>
      </w:r>
      <w:proofErr w:type="spellEnd"/>
      <w:r w:rsidR="003B12EC" w:rsidRPr="00026244">
        <w:rPr>
          <w:rFonts w:ascii="Palatino Linotype" w:hAnsi="Palatino Linotype"/>
          <w:lang w:val="en-US"/>
        </w:rPr>
        <w:t xml:space="preserve"> </w:t>
      </w:r>
      <w:proofErr w:type="spellStart"/>
      <w:r w:rsidRPr="00026244">
        <w:rPr>
          <w:rFonts w:ascii="Palatino Linotype" w:hAnsi="Palatino Linotype"/>
          <w:lang w:val="en-US"/>
        </w:rPr>
        <w:t>Gulnora</w:t>
      </w:r>
      <w:proofErr w:type="spellEnd"/>
      <w:r w:rsidR="003B12EC" w:rsidRPr="00026244">
        <w:rPr>
          <w:rFonts w:ascii="Palatino Linotype" w:hAnsi="Palatino Linotype"/>
          <w:lang w:val="en-US"/>
        </w:rPr>
        <w:t xml:space="preserve"> </w:t>
      </w:r>
      <w:proofErr w:type="spellStart"/>
      <w:r w:rsidRPr="00026244">
        <w:rPr>
          <w:rFonts w:ascii="Palatino Linotype" w:hAnsi="Palatino Linotype"/>
          <w:lang w:val="en-US"/>
        </w:rPr>
        <w:t>Kenjaevna</w:t>
      </w:r>
      <w:proofErr w:type="spellEnd"/>
    </w:p>
    <w:p w:rsidR="00FB5F40" w:rsidRPr="00026244" w:rsidRDefault="00FB5F40" w:rsidP="00A23DC1">
      <w:pPr>
        <w:jc w:val="both"/>
        <w:rPr>
          <w:rFonts w:ascii="Palatino Linotype" w:hAnsi="Palatino Linotype"/>
          <w:lang w:val="en-US"/>
        </w:rPr>
      </w:pPr>
    </w:p>
    <w:p w:rsidR="00FB5F40" w:rsidRPr="00026244" w:rsidRDefault="00FB5F40" w:rsidP="00A23DC1">
      <w:pPr>
        <w:jc w:val="both"/>
        <w:rPr>
          <w:rFonts w:ascii="Palatino Linotype" w:hAnsi="Palatino Linotype"/>
          <w:lang w:val="en-US"/>
        </w:rPr>
      </w:pPr>
    </w:p>
    <w:p w:rsidR="00FB5F40" w:rsidRPr="00026244" w:rsidRDefault="00FB5F40" w:rsidP="00957AFF">
      <w:pPr>
        <w:spacing w:after="0"/>
        <w:jc w:val="both"/>
        <w:rPr>
          <w:rFonts w:ascii="Palatino Linotype" w:hAnsi="Palatino Linotype"/>
          <w:b/>
          <w:sz w:val="28"/>
          <w:szCs w:val="28"/>
          <w:lang w:val="en-US"/>
        </w:rPr>
      </w:pPr>
      <w:r w:rsidRPr="00026244">
        <w:rPr>
          <w:rFonts w:ascii="Palatino Linotype" w:hAnsi="Palatino Linotype"/>
          <w:b/>
          <w:sz w:val="28"/>
          <w:szCs w:val="28"/>
        </w:rPr>
        <w:lastRenderedPageBreak/>
        <w:t>СТАНОВЛЕНИЕ</w:t>
      </w:r>
      <w:r w:rsidRPr="00026244">
        <w:rPr>
          <w:rFonts w:ascii="Palatino Linotype" w:hAnsi="Palatino Linotype"/>
          <w:b/>
          <w:sz w:val="28"/>
          <w:szCs w:val="28"/>
          <w:lang w:val="en-US"/>
        </w:rPr>
        <w:t xml:space="preserve"> </w:t>
      </w:r>
      <w:r w:rsidRPr="00026244">
        <w:rPr>
          <w:rFonts w:ascii="Palatino Linotype" w:hAnsi="Palatino Linotype"/>
          <w:b/>
          <w:sz w:val="28"/>
          <w:szCs w:val="28"/>
        </w:rPr>
        <w:t>БАНКА</w:t>
      </w:r>
    </w:p>
    <w:p w:rsidR="00FB5F40" w:rsidRPr="00026244" w:rsidRDefault="00FB5F40" w:rsidP="00957AFF">
      <w:pPr>
        <w:spacing w:after="0"/>
        <w:jc w:val="both"/>
        <w:rPr>
          <w:rFonts w:ascii="Palatino Linotype" w:hAnsi="Palatino Linotype"/>
          <w:b/>
          <w:lang w:val="en-US"/>
        </w:rPr>
      </w:pPr>
    </w:p>
    <w:p w:rsidR="00FB5F40" w:rsidRPr="00026244" w:rsidRDefault="00FB5F40" w:rsidP="003B12EC">
      <w:pPr>
        <w:pStyle w:val="a3"/>
        <w:numPr>
          <w:ilvl w:val="0"/>
          <w:numId w:val="1"/>
        </w:numPr>
        <w:spacing w:before="240"/>
        <w:ind w:left="284" w:right="-1" w:hanging="284"/>
        <w:jc w:val="both"/>
        <w:rPr>
          <w:rFonts w:ascii="Palatino Linotype" w:hAnsi="Palatino Linotype"/>
        </w:rPr>
      </w:pPr>
      <w:r w:rsidRPr="00026244">
        <w:rPr>
          <w:rFonts w:ascii="Palatino Linotype" w:hAnsi="Palatino Linotype"/>
          <w:bCs/>
        </w:rPr>
        <w:t>В марте 1885 года в городе Худжанд начала свою деятельность первая  на территории  сегодняшнего Таджикистана ссудно-сберегательная касса.</w:t>
      </w:r>
    </w:p>
    <w:p w:rsidR="00FB5F40" w:rsidRPr="00026244" w:rsidRDefault="00FB5F40" w:rsidP="003B12EC">
      <w:pPr>
        <w:pStyle w:val="a3"/>
        <w:numPr>
          <w:ilvl w:val="0"/>
          <w:numId w:val="1"/>
        </w:numPr>
        <w:spacing w:before="240"/>
        <w:ind w:left="284" w:right="-1" w:hanging="284"/>
        <w:jc w:val="both"/>
        <w:rPr>
          <w:rFonts w:ascii="Palatino Linotype" w:hAnsi="Palatino Linotype"/>
        </w:rPr>
      </w:pPr>
      <w:r w:rsidRPr="00026244">
        <w:rPr>
          <w:rFonts w:ascii="Palatino Linotype" w:hAnsi="Palatino Linotype"/>
          <w:bCs/>
        </w:rPr>
        <w:t xml:space="preserve">В  декабре 1925 года – открылась  первая </w:t>
      </w:r>
      <w:proofErr w:type="spellStart"/>
      <w:r w:rsidRPr="00026244">
        <w:rPr>
          <w:rFonts w:ascii="Palatino Linotype" w:hAnsi="Palatino Linotype"/>
          <w:bCs/>
        </w:rPr>
        <w:t>Гострудсберкасса</w:t>
      </w:r>
      <w:proofErr w:type="spellEnd"/>
      <w:r w:rsidRPr="00026244">
        <w:rPr>
          <w:rFonts w:ascii="Palatino Linotype" w:hAnsi="Palatino Linotype"/>
          <w:bCs/>
        </w:rPr>
        <w:t xml:space="preserve"> №1341 при </w:t>
      </w:r>
      <w:proofErr w:type="spellStart"/>
      <w:r w:rsidRPr="00026244">
        <w:rPr>
          <w:rFonts w:ascii="Palatino Linotype" w:hAnsi="Palatino Linotype"/>
          <w:bCs/>
        </w:rPr>
        <w:t>Наркомфине</w:t>
      </w:r>
      <w:proofErr w:type="spellEnd"/>
      <w:r w:rsidRPr="00026244">
        <w:rPr>
          <w:rFonts w:ascii="Palatino Linotype" w:hAnsi="Palatino Linotype"/>
          <w:bCs/>
        </w:rPr>
        <w:t xml:space="preserve"> ТАССР.</w:t>
      </w:r>
    </w:p>
    <w:p w:rsidR="00FB5F40" w:rsidRPr="00026244" w:rsidRDefault="00FB5F40" w:rsidP="003B12EC">
      <w:pPr>
        <w:pStyle w:val="a3"/>
        <w:numPr>
          <w:ilvl w:val="0"/>
          <w:numId w:val="1"/>
        </w:numPr>
        <w:spacing w:before="240"/>
        <w:ind w:left="284" w:right="-1" w:hanging="284"/>
        <w:jc w:val="both"/>
        <w:rPr>
          <w:rFonts w:ascii="Palatino Linotype" w:hAnsi="Palatino Linotype"/>
        </w:rPr>
      </w:pPr>
      <w:r w:rsidRPr="00026244">
        <w:rPr>
          <w:rFonts w:ascii="Palatino Linotype" w:hAnsi="Palatino Linotype"/>
          <w:bCs/>
        </w:rPr>
        <w:t xml:space="preserve">В октябре 1987 года </w:t>
      </w:r>
      <w:proofErr w:type="spellStart"/>
      <w:r w:rsidRPr="00026244">
        <w:rPr>
          <w:rFonts w:ascii="Palatino Linotype" w:hAnsi="Palatino Linotype"/>
          <w:bCs/>
        </w:rPr>
        <w:t>Гострудсберкассы</w:t>
      </w:r>
      <w:proofErr w:type="spellEnd"/>
      <w:r w:rsidRPr="00026244">
        <w:rPr>
          <w:rFonts w:ascii="Palatino Linotype" w:hAnsi="Palatino Linotype"/>
          <w:bCs/>
        </w:rPr>
        <w:t xml:space="preserve">  Таджикистана получили название: Таджикский Республиканский банк Сберегательного банка СССР.   </w:t>
      </w:r>
    </w:p>
    <w:p w:rsidR="00FB5F40" w:rsidRPr="00026244" w:rsidRDefault="00FB5F40" w:rsidP="003B12EC">
      <w:pPr>
        <w:pStyle w:val="a3"/>
        <w:numPr>
          <w:ilvl w:val="0"/>
          <w:numId w:val="1"/>
        </w:numPr>
        <w:spacing w:before="240"/>
        <w:ind w:left="284" w:right="-1" w:hanging="284"/>
        <w:jc w:val="both"/>
        <w:rPr>
          <w:rFonts w:ascii="Palatino Linotype" w:hAnsi="Palatino Linotype"/>
          <w:bCs/>
        </w:rPr>
      </w:pPr>
      <w:r w:rsidRPr="00026244">
        <w:rPr>
          <w:rFonts w:ascii="Palatino Linotype" w:hAnsi="Palatino Linotype"/>
          <w:bCs/>
        </w:rPr>
        <w:t xml:space="preserve">В январе  1992 года - на базе Таджикского Республиканского банка Сберегательного банка СССР был образован Сберегательный банк Республики Таджикистан.   </w:t>
      </w:r>
    </w:p>
    <w:p w:rsidR="00FB5F40" w:rsidRPr="00026244" w:rsidRDefault="00FB5F40" w:rsidP="003B12EC">
      <w:pPr>
        <w:pStyle w:val="a3"/>
        <w:numPr>
          <w:ilvl w:val="0"/>
          <w:numId w:val="1"/>
        </w:numPr>
        <w:spacing w:before="240"/>
        <w:ind w:left="284" w:right="-1" w:hanging="284"/>
        <w:jc w:val="both"/>
        <w:rPr>
          <w:rFonts w:ascii="Palatino Linotype" w:hAnsi="Palatino Linotype"/>
        </w:rPr>
      </w:pPr>
      <w:r w:rsidRPr="00026244">
        <w:rPr>
          <w:rFonts w:ascii="Palatino Linotype" w:hAnsi="Palatino Linotype"/>
        </w:rPr>
        <w:t xml:space="preserve">В ноябре 1998 года Сберегательному банку Республики Таджикистан присвоен статус государственного </w:t>
      </w:r>
      <w:proofErr w:type="gramStart"/>
      <w:r w:rsidRPr="00026244">
        <w:rPr>
          <w:rFonts w:ascii="Palatino Linotype" w:hAnsi="Palatino Linotype"/>
        </w:rPr>
        <w:t>банка</w:t>
      </w:r>
      <w:proofErr w:type="gramEnd"/>
      <w:r w:rsidRPr="00026244">
        <w:rPr>
          <w:rFonts w:ascii="Palatino Linotype" w:hAnsi="Palatino Linotype"/>
        </w:rPr>
        <w:t xml:space="preserve"> и теперь он называется Государственный сберегательный банк Республики Таджикистан «</w:t>
      </w:r>
      <w:proofErr w:type="spellStart"/>
      <w:r w:rsidRPr="00026244">
        <w:rPr>
          <w:rFonts w:ascii="Palatino Linotype" w:hAnsi="Palatino Linotype"/>
        </w:rPr>
        <w:t>Амонатбонк</w:t>
      </w:r>
      <w:proofErr w:type="spellEnd"/>
      <w:r w:rsidRPr="00026244">
        <w:rPr>
          <w:rFonts w:ascii="Palatino Linotype" w:hAnsi="Palatino Linotype"/>
        </w:rPr>
        <w:t>».</w:t>
      </w:r>
    </w:p>
    <w:p w:rsidR="00FB5F40" w:rsidRPr="00026244" w:rsidRDefault="00FB5F40" w:rsidP="003B12EC">
      <w:pPr>
        <w:pStyle w:val="a3"/>
        <w:numPr>
          <w:ilvl w:val="0"/>
          <w:numId w:val="1"/>
        </w:numPr>
        <w:spacing w:before="240"/>
        <w:ind w:left="284" w:right="-1" w:hanging="284"/>
        <w:jc w:val="both"/>
        <w:rPr>
          <w:rFonts w:ascii="Palatino Linotype" w:hAnsi="Palatino Linotype"/>
        </w:rPr>
      </w:pPr>
      <w:r w:rsidRPr="00026244">
        <w:rPr>
          <w:rFonts w:ascii="Palatino Linotype" w:hAnsi="Palatino Linotype"/>
        </w:rPr>
        <w:t>Единственным учредителем Банка является Правительство Республики Таджикистан в лице Министерства финансов Республики Таджикистан.</w:t>
      </w:r>
    </w:p>
    <w:p w:rsidR="00FB5F40" w:rsidRPr="00026244" w:rsidRDefault="00FB5F40" w:rsidP="003B12EC">
      <w:pPr>
        <w:pStyle w:val="a3"/>
        <w:numPr>
          <w:ilvl w:val="0"/>
          <w:numId w:val="1"/>
        </w:numPr>
        <w:spacing w:before="240"/>
        <w:ind w:left="284" w:right="-1" w:hanging="284"/>
        <w:jc w:val="both"/>
        <w:rPr>
          <w:rFonts w:ascii="Palatino Linotype" w:hAnsi="Palatino Linotype"/>
        </w:rPr>
      </w:pPr>
      <w:r w:rsidRPr="00026244">
        <w:rPr>
          <w:rFonts w:ascii="Palatino Linotype" w:hAnsi="Palatino Linotype"/>
        </w:rPr>
        <w:t>Сегодня филиальная сеть Банка состоит из   5 областных и региональных , 70 городских и районных филиалов и 507 агентств</w:t>
      </w:r>
      <w:r w:rsidR="0095600F" w:rsidRPr="00026244">
        <w:rPr>
          <w:rFonts w:ascii="Palatino Linotype" w:hAnsi="Palatino Linotype"/>
        </w:rPr>
        <w:t xml:space="preserve"> и 142 пункта денежных переводов</w:t>
      </w:r>
      <w:r w:rsidRPr="00026244">
        <w:rPr>
          <w:rFonts w:ascii="Palatino Linotype" w:hAnsi="Palatino Linotype"/>
        </w:rPr>
        <w:t>.</w:t>
      </w:r>
    </w:p>
    <w:p w:rsidR="00FB5F40" w:rsidRPr="00026244" w:rsidRDefault="00FB5F40" w:rsidP="003B12EC">
      <w:pPr>
        <w:pStyle w:val="a3"/>
        <w:numPr>
          <w:ilvl w:val="0"/>
          <w:numId w:val="1"/>
        </w:numPr>
        <w:spacing w:before="240"/>
        <w:ind w:left="284" w:right="-1" w:hanging="284"/>
        <w:jc w:val="both"/>
        <w:rPr>
          <w:rFonts w:ascii="Palatino Linotype" w:hAnsi="Palatino Linotype"/>
          <w:b/>
        </w:rPr>
      </w:pPr>
      <w:r w:rsidRPr="00026244">
        <w:rPr>
          <w:rFonts w:ascii="Palatino Linotype" w:hAnsi="Palatino Linotype"/>
        </w:rPr>
        <w:t xml:space="preserve">На сегодняшний день Банк обслуживает </w:t>
      </w:r>
      <w:r w:rsidR="00513EA6" w:rsidRPr="00026244">
        <w:rPr>
          <w:rFonts w:ascii="Palatino Linotype" w:hAnsi="Palatino Linotype"/>
        </w:rPr>
        <w:t xml:space="preserve"> 5 </w:t>
      </w:r>
      <w:r w:rsidRPr="00026244">
        <w:rPr>
          <w:rFonts w:ascii="Palatino Linotype" w:hAnsi="Palatino Linotype"/>
        </w:rPr>
        <w:t>535 бюджетных организаций, 6385 внебюджетных организаций, 572 051 пенсионеров и 239 499 вкладчиков.</w:t>
      </w:r>
    </w:p>
    <w:p w:rsidR="00FB5F40" w:rsidRPr="00026244" w:rsidRDefault="00FB5F40" w:rsidP="00A23DC1">
      <w:pPr>
        <w:jc w:val="both"/>
        <w:rPr>
          <w:rFonts w:ascii="Palatino Linotype" w:hAnsi="Palatino Linotype"/>
        </w:rPr>
      </w:pPr>
    </w:p>
    <w:p w:rsidR="00FB5F40" w:rsidRPr="00026244" w:rsidRDefault="00FB5F40" w:rsidP="00A23DC1">
      <w:pPr>
        <w:jc w:val="both"/>
        <w:rPr>
          <w:rFonts w:ascii="Palatino Linotype" w:hAnsi="Palatino Linotype"/>
        </w:rPr>
      </w:pPr>
    </w:p>
    <w:p w:rsidR="00FB5F40" w:rsidRPr="00026244" w:rsidRDefault="00FB5F40" w:rsidP="00A23DC1">
      <w:pPr>
        <w:jc w:val="both"/>
        <w:rPr>
          <w:rFonts w:ascii="Palatino Linotype" w:hAnsi="Palatino Linotype"/>
        </w:rPr>
      </w:pPr>
    </w:p>
    <w:p w:rsidR="00FB5F40" w:rsidRPr="00026244" w:rsidRDefault="00FB5F40" w:rsidP="00D930DC">
      <w:pPr>
        <w:spacing w:after="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lastRenderedPageBreak/>
        <w:t>BANK’S HISTORY</w:t>
      </w:r>
    </w:p>
    <w:p w:rsidR="00FB5F40" w:rsidRPr="00026244" w:rsidRDefault="00FB5F40" w:rsidP="00D930DC">
      <w:pPr>
        <w:spacing w:after="0"/>
        <w:jc w:val="both"/>
        <w:rPr>
          <w:rFonts w:ascii="Palatino Linotype" w:hAnsi="Palatino Linotype"/>
          <w:b/>
          <w:lang w:val="en-US"/>
        </w:rPr>
      </w:pPr>
    </w:p>
    <w:p w:rsidR="00FB5F40" w:rsidRPr="00026244" w:rsidRDefault="00FB5F40" w:rsidP="003B12EC">
      <w:pPr>
        <w:pStyle w:val="a3"/>
        <w:numPr>
          <w:ilvl w:val="0"/>
          <w:numId w:val="1"/>
        </w:numPr>
        <w:spacing w:before="240" w:line="288" w:lineRule="auto"/>
        <w:ind w:left="0" w:right="68" w:hanging="284"/>
        <w:jc w:val="both"/>
        <w:rPr>
          <w:rFonts w:ascii="Palatino Linotype" w:hAnsi="Palatino Linotype"/>
          <w:lang w:val="en-US"/>
        </w:rPr>
      </w:pPr>
      <w:r w:rsidRPr="00026244">
        <w:rPr>
          <w:rFonts w:ascii="Palatino Linotype" w:hAnsi="Palatino Linotype"/>
          <w:lang w:val="en-US"/>
        </w:rPr>
        <w:t xml:space="preserve">In March </w:t>
      </w:r>
      <w:smartTag w:uri="urn:schemas-microsoft-com:office:smarttags" w:element="metricconverter">
        <w:smartTagPr>
          <w:attr w:name="ProductID" w:val="1885 in"/>
        </w:smartTagPr>
        <w:r w:rsidRPr="00026244">
          <w:rPr>
            <w:rFonts w:ascii="Palatino Linotype" w:hAnsi="Palatino Linotype"/>
            <w:lang w:val="en-US"/>
          </w:rPr>
          <w:t>1885 in</w:t>
        </w:r>
        <w:r w:rsidR="0095600F" w:rsidRPr="00026244">
          <w:rPr>
            <w:rFonts w:ascii="Palatino Linotype" w:hAnsi="Palatino Linotype"/>
            <w:lang w:val="en-US"/>
          </w:rPr>
          <w:t xml:space="preserve"> </w:t>
        </w:r>
      </w:smartTag>
      <w:proofErr w:type="spellStart"/>
      <w:r w:rsidRPr="00026244">
        <w:rPr>
          <w:rFonts w:ascii="Palatino Linotype" w:hAnsi="Palatino Linotype"/>
          <w:lang w:val="en-US"/>
        </w:rPr>
        <w:t>Khujand</w:t>
      </w:r>
      <w:proofErr w:type="spellEnd"/>
      <w:r w:rsidRPr="00026244">
        <w:rPr>
          <w:rFonts w:ascii="Palatino Linotype" w:hAnsi="Palatino Linotype"/>
          <w:lang w:val="en-US"/>
        </w:rPr>
        <w:t xml:space="preserve"> came into operation the first loan and savings cash in contemporary Tajikistan area. </w:t>
      </w:r>
    </w:p>
    <w:p w:rsidR="00FB5F40" w:rsidRPr="00026244" w:rsidRDefault="00FB5F40" w:rsidP="003B12EC">
      <w:pPr>
        <w:pStyle w:val="a3"/>
        <w:numPr>
          <w:ilvl w:val="0"/>
          <w:numId w:val="1"/>
        </w:numPr>
        <w:spacing w:before="240" w:line="288" w:lineRule="auto"/>
        <w:ind w:left="0" w:right="68" w:hanging="284"/>
        <w:jc w:val="both"/>
        <w:rPr>
          <w:rFonts w:ascii="Palatino Linotype" w:hAnsi="Palatino Linotype"/>
          <w:lang w:val="en-US"/>
        </w:rPr>
      </w:pPr>
      <w:r w:rsidRPr="00026244">
        <w:rPr>
          <w:rFonts w:ascii="Palatino Linotype" w:hAnsi="Palatino Linotype"/>
          <w:bCs/>
          <w:lang w:val="en-US"/>
        </w:rPr>
        <w:t>In December 1925 there was opened the first State Labor Cash № 1341</w:t>
      </w:r>
      <w:r w:rsidR="0095600F" w:rsidRPr="00026244">
        <w:rPr>
          <w:rFonts w:ascii="Palatino Linotype" w:hAnsi="Palatino Linotype"/>
          <w:bCs/>
          <w:lang w:val="en-US"/>
        </w:rPr>
        <w:t xml:space="preserve"> </w:t>
      </w:r>
      <w:r w:rsidRPr="00026244">
        <w:rPr>
          <w:rFonts w:ascii="Palatino Linotype" w:hAnsi="Palatino Linotype"/>
          <w:bCs/>
          <w:lang w:val="en-US"/>
        </w:rPr>
        <w:t>under the People Finance Committee of Soviet Tajik Republic.</w:t>
      </w:r>
    </w:p>
    <w:p w:rsidR="00FB5F40" w:rsidRPr="00026244" w:rsidRDefault="00FB5F40" w:rsidP="003B12EC">
      <w:pPr>
        <w:pStyle w:val="a3"/>
        <w:numPr>
          <w:ilvl w:val="0"/>
          <w:numId w:val="1"/>
        </w:numPr>
        <w:spacing w:before="240" w:line="288" w:lineRule="auto"/>
        <w:ind w:left="0" w:right="68" w:hanging="284"/>
        <w:jc w:val="both"/>
        <w:rPr>
          <w:rFonts w:ascii="Palatino Linotype" w:hAnsi="Palatino Linotype"/>
          <w:lang w:val="en-US"/>
        </w:rPr>
      </w:pPr>
      <w:r w:rsidRPr="00026244">
        <w:rPr>
          <w:rFonts w:ascii="Palatino Linotype" w:hAnsi="Palatino Linotype"/>
          <w:bCs/>
          <w:lang w:val="en-US"/>
        </w:rPr>
        <w:t>In October 1987 the State Labor Cashes of Tajikistan were re-named into Tajik Republican Bank of the Savings (</w:t>
      </w:r>
      <w:proofErr w:type="spellStart"/>
      <w:r w:rsidRPr="00026244">
        <w:rPr>
          <w:rFonts w:ascii="Palatino Linotype" w:hAnsi="Palatino Linotype"/>
          <w:bCs/>
          <w:lang w:val="en-US"/>
        </w:rPr>
        <w:t>Sberbank</w:t>
      </w:r>
      <w:proofErr w:type="spellEnd"/>
      <w:r w:rsidRPr="00026244">
        <w:rPr>
          <w:rFonts w:ascii="Palatino Linotype" w:hAnsi="Palatino Linotype"/>
          <w:bCs/>
          <w:lang w:val="en-US"/>
        </w:rPr>
        <w:t xml:space="preserve">) Bank of the </w:t>
      </w:r>
      <w:smartTag w:uri="urn:schemas-microsoft-com:office:smarttags" w:element="place">
        <w:smartTag w:uri="urn:schemas-microsoft-com:office:smarttags" w:element="country-region">
          <w:r w:rsidRPr="00026244">
            <w:rPr>
              <w:rFonts w:ascii="Palatino Linotype" w:hAnsi="Palatino Linotype"/>
              <w:bCs/>
              <w:lang w:val="en-US"/>
            </w:rPr>
            <w:t>USSR</w:t>
          </w:r>
        </w:smartTag>
      </w:smartTag>
      <w:r w:rsidRPr="00026244">
        <w:rPr>
          <w:rFonts w:ascii="Palatino Linotype" w:hAnsi="Palatino Linotype"/>
          <w:bCs/>
          <w:lang w:val="en-US"/>
        </w:rPr>
        <w:t xml:space="preserve">.   </w:t>
      </w:r>
    </w:p>
    <w:p w:rsidR="00FB5F40" w:rsidRPr="00026244" w:rsidRDefault="00FB5F40" w:rsidP="003B12EC">
      <w:pPr>
        <w:pStyle w:val="a3"/>
        <w:numPr>
          <w:ilvl w:val="0"/>
          <w:numId w:val="2"/>
        </w:numPr>
        <w:spacing w:before="240" w:line="288" w:lineRule="auto"/>
        <w:ind w:left="0" w:right="68" w:hanging="284"/>
        <w:jc w:val="both"/>
        <w:rPr>
          <w:rFonts w:ascii="Palatino Linotype" w:hAnsi="Palatino Linotype"/>
          <w:bCs/>
          <w:lang w:val="en-US"/>
        </w:rPr>
      </w:pPr>
      <w:r w:rsidRPr="00026244">
        <w:rPr>
          <w:rFonts w:ascii="Palatino Linotype" w:hAnsi="Palatino Linotype"/>
          <w:bCs/>
          <w:lang w:val="en-US"/>
        </w:rPr>
        <w:t>In January 1992 on the basis of Tajik Republican Bank of the Savings (</w:t>
      </w:r>
      <w:proofErr w:type="spellStart"/>
      <w:r w:rsidRPr="00026244">
        <w:rPr>
          <w:rFonts w:ascii="Palatino Linotype" w:hAnsi="Palatino Linotype"/>
          <w:bCs/>
          <w:lang w:val="en-US"/>
        </w:rPr>
        <w:t>Sberbank</w:t>
      </w:r>
      <w:proofErr w:type="spellEnd"/>
      <w:r w:rsidRPr="00026244">
        <w:rPr>
          <w:rFonts w:ascii="Palatino Linotype" w:hAnsi="Palatino Linotype"/>
          <w:bCs/>
          <w:lang w:val="en-US"/>
        </w:rPr>
        <w:t xml:space="preserve">) Bank of the </w:t>
      </w:r>
      <w:smartTag w:uri="urn:schemas-microsoft-com:office:smarttags" w:element="country-region">
        <w:r w:rsidRPr="00026244">
          <w:rPr>
            <w:rFonts w:ascii="Palatino Linotype" w:hAnsi="Palatino Linotype"/>
            <w:bCs/>
            <w:lang w:val="en-US"/>
          </w:rPr>
          <w:t>USSR</w:t>
        </w:r>
      </w:smartTag>
      <w:r w:rsidRPr="00026244">
        <w:rPr>
          <w:rFonts w:ascii="Palatino Linotype" w:hAnsi="Palatino Linotype"/>
          <w:bCs/>
          <w:lang w:val="en-US"/>
        </w:rPr>
        <w:t xml:space="preserve"> was founded the Savings Bank of the </w:t>
      </w:r>
      <w:smartTag w:uri="urn:schemas-microsoft-com:office:smarttags" w:element="place">
        <w:smartTag w:uri="urn:schemas-microsoft-com:office:smarttags" w:element="PlaceType">
          <w:r w:rsidRPr="00026244">
            <w:rPr>
              <w:rFonts w:ascii="Palatino Linotype" w:hAnsi="Palatino Linotype"/>
              <w:bCs/>
              <w:lang w:val="en-US"/>
            </w:rPr>
            <w:t>Republic</w:t>
          </w:r>
        </w:smartTag>
        <w:r w:rsidRPr="00026244">
          <w:rPr>
            <w:rFonts w:ascii="Palatino Linotype" w:hAnsi="Palatino Linotype"/>
            <w:bCs/>
            <w:lang w:val="en-US"/>
          </w:rPr>
          <w:t xml:space="preserve"> of </w:t>
        </w:r>
        <w:smartTag w:uri="urn:schemas-microsoft-com:office:smarttags" w:element="PlaceName">
          <w:r w:rsidRPr="00026244">
            <w:rPr>
              <w:rFonts w:ascii="Palatino Linotype" w:hAnsi="Palatino Linotype"/>
              <w:bCs/>
              <w:lang w:val="en-US"/>
            </w:rPr>
            <w:t>Tajikistan</w:t>
          </w:r>
        </w:smartTag>
      </w:smartTag>
      <w:r w:rsidRPr="00026244">
        <w:rPr>
          <w:rFonts w:ascii="Palatino Linotype" w:hAnsi="Palatino Linotype"/>
          <w:bCs/>
          <w:lang w:val="en-US"/>
        </w:rPr>
        <w:t xml:space="preserve">.   </w:t>
      </w:r>
    </w:p>
    <w:p w:rsidR="00FB5F40" w:rsidRPr="00026244" w:rsidRDefault="00FB5F40" w:rsidP="003B12EC">
      <w:pPr>
        <w:pStyle w:val="a3"/>
        <w:numPr>
          <w:ilvl w:val="0"/>
          <w:numId w:val="1"/>
        </w:numPr>
        <w:spacing w:before="240" w:line="288" w:lineRule="auto"/>
        <w:ind w:left="0" w:right="68" w:hanging="284"/>
        <w:jc w:val="both"/>
        <w:rPr>
          <w:rFonts w:ascii="Palatino Linotype" w:hAnsi="Palatino Linotype"/>
          <w:lang w:val="en-US"/>
        </w:rPr>
      </w:pPr>
      <w:r w:rsidRPr="00026244">
        <w:rPr>
          <w:rFonts w:ascii="Palatino Linotype" w:hAnsi="Palatino Linotype"/>
          <w:lang w:val="en-US"/>
        </w:rPr>
        <w:t xml:space="preserve">In November 1998 the Savings Bank of the </w:t>
      </w:r>
      <w:smartTag w:uri="urn:schemas-microsoft-com:office:smarttags" w:element="PlaceType">
        <w:r w:rsidRPr="00026244">
          <w:rPr>
            <w:rFonts w:ascii="Palatino Linotype" w:hAnsi="Palatino Linotype"/>
            <w:lang w:val="en-US"/>
          </w:rPr>
          <w:t>Republic</w:t>
        </w:r>
      </w:smartTag>
      <w:r w:rsidRPr="00026244">
        <w:rPr>
          <w:rFonts w:ascii="Palatino Linotype" w:hAnsi="Palatino Linotype"/>
          <w:lang w:val="en-US"/>
        </w:rPr>
        <w:t xml:space="preserve"> of </w:t>
      </w:r>
      <w:smartTag w:uri="urn:schemas-microsoft-com:office:smarttags" w:element="PlaceName">
        <w:r w:rsidRPr="00026244">
          <w:rPr>
            <w:rFonts w:ascii="Palatino Linotype" w:hAnsi="Palatino Linotype"/>
            <w:lang w:val="en-US"/>
          </w:rPr>
          <w:t>Tajikistan</w:t>
        </w:r>
      </w:smartTag>
      <w:r w:rsidRPr="00026244">
        <w:rPr>
          <w:rFonts w:ascii="Palatino Linotype" w:hAnsi="Palatino Linotype"/>
          <w:lang w:val="en-US"/>
        </w:rPr>
        <w:t xml:space="preserve"> gained a status of State Bank and since then it is called the State Savings Bank of the </w:t>
      </w:r>
      <w:smartTag w:uri="urn:schemas-microsoft-com:office:smarttags" w:element="place">
        <w:smartTag w:uri="urn:schemas-microsoft-com:office:smarttags" w:element="PlaceType">
          <w:r w:rsidRPr="00026244">
            <w:rPr>
              <w:rFonts w:ascii="Palatino Linotype" w:hAnsi="Palatino Linotype"/>
              <w:lang w:val="en-US"/>
            </w:rPr>
            <w:t>Republic</w:t>
          </w:r>
        </w:smartTag>
        <w:r w:rsidRPr="00026244">
          <w:rPr>
            <w:rFonts w:ascii="Palatino Linotype" w:hAnsi="Palatino Linotype"/>
            <w:lang w:val="en-US"/>
          </w:rPr>
          <w:t xml:space="preserve"> of </w:t>
        </w:r>
        <w:smartTag w:uri="urn:schemas-microsoft-com:office:smarttags" w:element="PlaceName">
          <w:r w:rsidRPr="00026244">
            <w:rPr>
              <w:rFonts w:ascii="Palatino Linotype" w:hAnsi="Palatino Linotype"/>
              <w:lang w:val="en-US"/>
            </w:rPr>
            <w:t>Tajikistan</w:t>
          </w:r>
        </w:smartTag>
      </w:smartTag>
      <w:r w:rsidRPr="00026244">
        <w:rPr>
          <w:rFonts w:ascii="Palatino Linotype" w:hAnsi="Palatino Linotype"/>
          <w:lang w:val="en-US"/>
        </w:rPr>
        <w:t xml:space="preserve"> “</w:t>
      </w:r>
      <w:proofErr w:type="spellStart"/>
      <w:r w:rsidRPr="00026244">
        <w:rPr>
          <w:rFonts w:ascii="Palatino Linotype" w:hAnsi="Palatino Linotype"/>
          <w:lang w:val="en-US"/>
        </w:rPr>
        <w:t>Amonatbonk</w:t>
      </w:r>
      <w:proofErr w:type="spellEnd"/>
      <w:r w:rsidRPr="00026244">
        <w:rPr>
          <w:rFonts w:ascii="Palatino Linotype" w:hAnsi="Palatino Linotype"/>
          <w:lang w:val="en-US"/>
        </w:rPr>
        <w:t>”.</w:t>
      </w:r>
    </w:p>
    <w:p w:rsidR="00FB5F40" w:rsidRPr="00026244" w:rsidRDefault="00FB5F40" w:rsidP="003B12EC">
      <w:pPr>
        <w:pStyle w:val="a3"/>
        <w:numPr>
          <w:ilvl w:val="0"/>
          <w:numId w:val="1"/>
        </w:numPr>
        <w:spacing w:before="240" w:line="288" w:lineRule="auto"/>
        <w:ind w:left="0" w:right="68" w:hanging="284"/>
        <w:jc w:val="both"/>
        <w:rPr>
          <w:rFonts w:ascii="Palatino Linotype" w:hAnsi="Palatino Linotype"/>
          <w:lang w:val="en-US"/>
        </w:rPr>
      </w:pPr>
      <w:r w:rsidRPr="00026244">
        <w:rPr>
          <w:rFonts w:ascii="Palatino Linotype" w:hAnsi="Palatino Linotype"/>
          <w:lang w:val="en-US"/>
        </w:rPr>
        <w:t>The only founder and promoter of the Bank is the Government of the Republic of Tajikistan in the person of the Ministry of Finance of the Republic of Tajikistan.</w:t>
      </w:r>
    </w:p>
    <w:p w:rsidR="00FB5F40" w:rsidRPr="00026244" w:rsidRDefault="00FB5F40" w:rsidP="003B12EC">
      <w:pPr>
        <w:pStyle w:val="a3"/>
        <w:numPr>
          <w:ilvl w:val="0"/>
          <w:numId w:val="1"/>
        </w:numPr>
        <w:spacing w:before="240" w:after="0" w:line="288" w:lineRule="auto"/>
        <w:ind w:left="0" w:right="68" w:hanging="284"/>
        <w:jc w:val="both"/>
        <w:rPr>
          <w:rFonts w:ascii="Palatino Linotype" w:hAnsi="Palatino Linotype"/>
          <w:b/>
          <w:lang w:val="en-US"/>
        </w:rPr>
      </w:pPr>
      <w:r w:rsidRPr="00026244">
        <w:rPr>
          <w:rFonts w:ascii="Palatino Linotype" w:hAnsi="Palatino Linotype"/>
          <w:lang w:val="en-US"/>
        </w:rPr>
        <w:t xml:space="preserve">The whole network of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consists of 5 regional, 70 city and district branches, 507 agencies and </w:t>
      </w:r>
      <w:r w:rsidR="0095600F" w:rsidRPr="00026244">
        <w:rPr>
          <w:rFonts w:ascii="Palatino Linotype" w:hAnsi="Palatino Linotype"/>
          <w:lang w:val="en-US"/>
        </w:rPr>
        <w:t>142</w:t>
      </w:r>
      <w:r w:rsidRPr="00026244">
        <w:rPr>
          <w:rFonts w:ascii="Palatino Linotype" w:hAnsi="Palatino Linotype"/>
          <w:lang w:val="en-US"/>
        </w:rPr>
        <w:t xml:space="preserve"> money transfer points.   </w:t>
      </w:r>
    </w:p>
    <w:p w:rsidR="00FB5F40" w:rsidRPr="00026244" w:rsidRDefault="00FB5F40" w:rsidP="003B12EC">
      <w:pPr>
        <w:pStyle w:val="a3"/>
        <w:numPr>
          <w:ilvl w:val="0"/>
          <w:numId w:val="1"/>
        </w:numPr>
        <w:spacing w:before="240" w:after="0" w:line="288" w:lineRule="auto"/>
        <w:ind w:left="0" w:right="68" w:hanging="284"/>
        <w:jc w:val="both"/>
        <w:rPr>
          <w:rFonts w:ascii="Palatino Linotype" w:hAnsi="Palatino Linotype"/>
          <w:b/>
          <w:lang w:val="en-US"/>
        </w:rPr>
      </w:pPr>
      <w:r w:rsidRPr="00026244">
        <w:rPr>
          <w:rFonts w:ascii="Palatino Linotype" w:hAnsi="Palatino Linotype"/>
          <w:lang w:val="en-US"/>
        </w:rPr>
        <w:t xml:space="preserve">As of today </w:t>
      </w:r>
      <w:proofErr w:type="spellStart"/>
      <w:r w:rsidRPr="00026244">
        <w:rPr>
          <w:rFonts w:ascii="Palatino Linotype" w:hAnsi="Palatino Linotype"/>
          <w:lang w:val="en-US"/>
        </w:rPr>
        <w:t>Amonatbank</w:t>
      </w:r>
      <w:proofErr w:type="spellEnd"/>
      <w:r w:rsidRPr="00026244">
        <w:rPr>
          <w:rFonts w:ascii="Palatino Linotype" w:hAnsi="Palatino Linotype"/>
          <w:lang w:val="en-US"/>
        </w:rPr>
        <w:t xml:space="preserve"> serves 5 535 budget organizations, 6385–non-budget organizations, 572 051 pensioners and 239 499 depositors.</w:t>
      </w:r>
    </w:p>
    <w:p w:rsidR="00FB5F40" w:rsidRPr="00BA6FED" w:rsidRDefault="00FB5F40" w:rsidP="00D930DC">
      <w:pPr>
        <w:spacing w:after="0"/>
        <w:jc w:val="both"/>
        <w:rPr>
          <w:rFonts w:ascii="Palatino Linotype" w:hAnsi="Palatino Linotype"/>
          <w:b/>
          <w:lang w:val="en-US"/>
        </w:rPr>
      </w:pPr>
    </w:p>
    <w:p w:rsidR="00156614" w:rsidRPr="00BA6FED" w:rsidRDefault="00156614" w:rsidP="00D930DC">
      <w:pPr>
        <w:spacing w:after="0"/>
        <w:jc w:val="both"/>
        <w:rPr>
          <w:rFonts w:ascii="Palatino Linotype" w:hAnsi="Palatino Linotype"/>
          <w:b/>
          <w:lang w:val="en-US"/>
        </w:rPr>
      </w:pPr>
    </w:p>
    <w:p w:rsidR="00156614" w:rsidRPr="00BA6FED" w:rsidRDefault="00156614" w:rsidP="00D930DC">
      <w:pPr>
        <w:spacing w:after="0"/>
        <w:jc w:val="both"/>
        <w:rPr>
          <w:rFonts w:ascii="Palatino Linotype" w:hAnsi="Palatino Linotype"/>
          <w:b/>
          <w:lang w:val="en-US"/>
        </w:rPr>
      </w:pPr>
    </w:p>
    <w:p w:rsidR="00FB5F40" w:rsidRPr="00BA6FED" w:rsidRDefault="00FB5F40" w:rsidP="00D930DC">
      <w:pPr>
        <w:spacing w:after="0"/>
        <w:jc w:val="both"/>
        <w:rPr>
          <w:rFonts w:ascii="Palatino Linotype" w:hAnsi="Palatino Linotype"/>
          <w:b/>
          <w:lang w:val="en-US"/>
        </w:rPr>
      </w:pPr>
    </w:p>
    <w:p w:rsidR="00156614" w:rsidRPr="00BA6FED" w:rsidRDefault="00156614" w:rsidP="00D930DC">
      <w:pPr>
        <w:spacing w:after="0"/>
        <w:jc w:val="both"/>
        <w:rPr>
          <w:rFonts w:ascii="Palatino Linotype" w:hAnsi="Palatino Linotype"/>
          <w:b/>
          <w:lang w:val="en-US"/>
        </w:rPr>
      </w:pPr>
    </w:p>
    <w:p w:rsidR="00FB5F40" w:rsidRPr="00026244" w:rsidRDefault="00FB5F40" w:rsidP="00D930DC">
      <w:pPr>
        <w:spacing w:after="0"/>
        <w:jc w:val="both"/>
        <w:rPr>
          <w:rFonts w:ascii="Palatino Linotype" w:hAnsi="Palatino Linotype"/>
          <w:b/>
          <w:lang w:val="en-US"/>
        </w:rPr>
      </w:pPr>
    </w:p>
    <w:p w:rsidR="00FB5F40" w:rsidRPr="00026244" w:rsidRDefault="00FB5F40" w:rsidP="00D930DC">
      <w:pPr>
        <w:spacing w:after="0"/>
        <w:jc w:val="both"/>
        <w:rPr>
          <w:rFonts w:ascii="Palatino Linotype" w:hAnsi="Palatino Linotype"/>
          <w:b/>
          <w:lang w:val="en-US"/>
        </w:rPr>
      </w:pPr>
    </w:p>
    <w:p w:rsidR="00FB5F40" w:rsidRPr="00026244" w:rsidRDefault="00FB5F40" w:rsidP="00D930DC">
      <w:pPr>
        <w:spacing w:after="0"/>
        <w:jc w:val="both"/>
        <w:rPr>
          <w:rFonts w:ascii="Palatino Linotype" w:hAnsi="Palatino Linotype"/>
          <w:b/>
          <w:lang w:val="en-US"/>
        </w:rPr>
      </w:pPr>
    </w:p>
    <w:p w:rsidR="00FB5F40" w:rsidRPr="00026244" w:rsidRDefault="00FB5F40" w:rsidP="00D930DC">
      <w:pPr>
        <w:spacing w:after="0"/>
        <w:jc w:val="both"/>
        <w:rPr>
          <w:rFonts w:ascii="Palatino Linotype" w:hAnsi="Palatino Linotype"/>
          <w:b/>
          <w:lang w:val="en-US"/>
        </w:rPr>
      </w:pPr>
    </w:p>
    <w:p w:rsidR="00FB5F40" w:rsidRPr="00026244" w:rsidRDefault="00FB5F40" w:rsidP="00D930DC">
      <w:pPr>
        <w:spacing w:after="0"/>
        <w:jc w:val="both"/>
        <w:rPr>
          <w:rFonts w:ascii="Palatino Linotype" w:hAnsi="Palatino Linotype"/>
          <w:b/>
          <w:sz w:val="28"/>
          <w:szCs w:val="28"/>
        </w:rPr>
      </w:pPr>
      <w:r w:rsidRPr="00026244">
        <w:rPr>
          <w:rFonts w:ascii="Palatino Linotype" w:hAnsi="Palatino Linotype"/>
          <w:b/>
          <w:sz w:val="28"/>
          <w:szCs w:val="28"/>
        </w:rPr>
        <w:lastRenderedPageBreak/>
        <w:t xml:space="preserve">Сфера деятельности Банка </w:t>
      </w:r>
    </w:p>
    <w:p w:rsidR="00FB5F40" w:rsidRPr="00026244" w:rsidRDefault="00FB5F40" w:rsidP="00D930DC">
      <w:pPr>
        <w:spacing w:after="0"/>
        <w:jc w:val="both"/>
        <w:rPr>
          <w:rFonts w:ascii="Palatino Linotype" w:hAnsi="Palatino Linotype"/>
          <w:b/>
        </w:rPr>
      </w:pPr>
    </w:p>
    <w:p w:rsidR="00FB5F40" w:rsidRPr="00026244" w:rsidRDefault="00FB5F40" w:rsidP="00D930DC">
      <w:pPr>
        <w:numPr>
          <w:ilvl w:val="1"/>
          <w:numId w:val="6"/>
        </w:numPr>
        <w:spacing w:after="0" w:line="240" w:lineRule="auto"/>
        <w:ind w:left="284" w:right="-6" w:hanging="284"/>
        <w:jc w:val="both"/>
        <w:rPr>
          <w:rFonts w:ascii="Palatino Linotype" w:hAnsi="Palatino Linotype"/>
        </w:rPr>
      </w:pPr>
      <w:r w:rsidRPr="00026244">
        <w:rPr>
          <w:rFonts w:ascii="Palatino Linotype" w:hAnsi="Palatino Linotype"/>
        </w:rPr>
        <w:t xml:space="preserve">Расчетно-кассовое обслуживание </w:t>
      </w:r>
    </w:p>
    <w:p w:rsidR="00FB5F40" w:rsidRPr="00026244" w:rsidRDefault="00FB5F40" w:rsidP="00D930DC">
      <w:pPr>
        <w:numPr>
          <w:ilvl w:val="1"/>
          <w:numId w:val="6"/>
        </w:numPr>
        <w:spacing w:after="0" w:line="240" w:lineRule="auto"/>
        <w:ind w:left="284" w:right="-6" w:hanging="284"/>
        <w:jc w:val="both"/>
        <w:rPr>
          <w:rFonts w:ascii="Palatino Linotype" w:hAnsi="Palatino Linotype"/>
          <w:color w:val="FF0000"/>
          <w:lang w:val="tg-Cyrl-TJ"/>
        </w:rPr>
      </w:pPr>
      <w:r w:rsidRPr="00026244">
        <w:rPr>
          <w:rFonts w:ascii="Palatino Linotype" w:hAnsi="Palatino Linotype"/>
        </w:rPr>
        <w:t xml:space="preserve">Обслуживание бюджетной сферы </w:t>
      </w:r>
    </w:p>
    <w:p w:rsidR="00FB5F40" w:rsidRPr="00026244" w:rsidRDefault="00FB5F40" w:rsidP="00D930DC">
      <w:pPr>
        <w:numPr>
          <w:ilvl w:val="1"/>
          <w:numId w:val="6"/>
        </w:numPr>
        <w:spacing w:after="0" w:line="240" w:lineRule="auto"/>
        <w:ind w:left="284" w:right="-6" w:hanging="284"/>
        <w:jc w:val="both"/>
        <w:rPr>
          <w:rFonts w:ascii="Palatino Linotype" w:hAnsi="Palatino Linotype"/>
          <w:lang w:val="tg-Cyrl-TJ"/>
        </w:rPr>
      </w:pPr>
      <w:r w:rsidRPr="00026244">
        <w:rPr>
          <w:rFonts w:ascii="Palatino Linotype" w:hAnsi="Palatino Linotype"/>
          <w:lang w:val="tg-Cyrl-TJ"/>
        </w:rPr>
        <w:t xml:space="preserve">Пенсионное обслуживание </w:t>
      </w:r>
    </w:p>
    <w:p w:rsidR="00FB5F40" w:rsidRPr="00026244" w:rsidRDefault="00FB5F40" w:rsidP="00D930DC">
      <w:pPr>
        <w:numPr>
          <w:ilvl w:val="1"/>
          <w:numId w:val="6"/>
        </w:numPr>
        <w:spacing w:after="0" w:line="240" w:lineRule="auto"/>
        <w:ind w:left="284" w:right="-6" w:hanging="284"/>
        <w:jc w:val="both"/>
        <w:rPr>
          <w:rFonts w:ascii="Palatino Linotype" w:hAnsi="Palatino Linotype"/>
          <w:lang w:val="tg-Cyrl-TJ"/>
        </w:rPr>
      </w:pPr>
      <w:r w:rsidRPr="00026244">
        <w:rPr>
          <w:rFonts w:ascii="Palatino Linotype" w:hAnsi="Palatino Linotype"/>
          <w:lang w:val="tg-Cyrl-TJ"/>
        </w:rPr>
        <w:t xml:space="preserve">Депозитные, вкладные операции и операции  пластиковыми картами  </w:t>
      </w:r>
    </w:p>
    <w:p w:rsidR="00FB5F40" w:rsidRPr="00026244" w:rsidRDefault="00FB5F40" w:rsidP="00D930DC">
      <w:pPr>
        <w:numPr>
          <w:ilvl w:val="1"/>
          <w:numId w:val="6"/>
        </w:numPr>
        <w:spacing w:after="0" w:line="240" w:lineRule="auto"/>
        <w:ind w:left="284" w:right="-6" w:hanging="284"/>
        <w:jc w:val="both"/>
        <w:rPr>
          <w:rFonts w:ascii="Palatino Linotype" w:hAnsi="Palatino Linotype"/>
          <w:lang w:val="tg-Cyrl-TJ"/>
        </w:rPr>
      </w:pPr>
      <w:r w:rsidRPr="00026244">
        <w:rPr>
          <w:rFonts w:ascii="Palatino Linotype" w:hAnsi="Palatino Linotype"/>
          <w:lang w:val="tg-Cyrl-TJ"/>
        </w:rPr>
        <w:t xml:space="preserve">Кредитование </w:t>
      </w:r>
    </w:p>
    <w:p w:rsidR="00FB5F40" w:rsidRPr="00026244" w:rsidRDefault="00FB5F40" w:rsidP="00D930DC">
      <w:pPr>
        <w:numPr>
          <w:ilvl w:val="1"/>
          <w:numId w:val="6"/>
        </w:numPr>
        <w:spacing w:after="0" w:line="240" w:lineRule="auto"/>
        <w:ind w:left="284" w:right="-6" w:hanging="284"/>
        <w:jc w:val="both"/>
        <w:rPr>
          <w:rFonts w:ascii="Palatino Linotype" w:hAnsi="Palatino Linotype"/>
          <w:lang w:val="tg-Cyrl-TJ"/>
        </w:rPr>
      </w:pPr>
      <w:r w:rsidRPr="00026244">
        <w:rPr>
          <w:rFonts w:ascii="Palatino Linotype" w:hAnsi="Palatino Linotype"/>
          <w:lang w:val="tg-Cyrl-TJ"/>
        </w:rPr>
        <w:t>Валютные операции</w:t>
      </w:r>
    </w:p>
    <w:p w:rsidR="00FB5F40" w:rsidRPr="00026244" w:rsidRDefault="00FB5F40" w:rsidP="00D930DC">
      <w:pPr>
        <w:numPr>
          <w:ilvl w:val="1"/>
          <w:numId w:val="6"/>
        </w:numPr>
        <w:spacing w:after="0" w:line="240" w:lineRule="auto"/>
        <w:ind w:left="284" w:right="-6" w:hanging="284"/>
        <w:jc w:val="both"/>
        <w:rPr>
          <w:rFonts w:ascii="Palatino Linotype" w:hAnsi="Palatino Linotype"/>
          <w:color w:val="FF0000"/>
          <w:lang w:val="tg-Cyrl-TJ"/>
        </w:rPr>
      </w:pPr>
      <w:r w:rsidRPr="00026244">
        <w:rPr>
          <w:rFonts w:ascii="Palatino Linotype" w:hAnsi="Palatino Linotype"/>
          <w:lang w:val="tg-Cyrl-TJ"/>
        </w:rPr>
        <w:t xml:space="preserve">Операции с ценными бумагами </w:t>
      </w:r>
    </w:p>
    <w:p w:rsidR="00FB5F40" w:rsidRPr="00026244" w:rsidRDefault="00FB5F40" w:rsidP="00D930DC">
      <w:pPr>
        <w:numPr>
          <w:ilvl w:val="1"/>
          <w:numId w:val="6"/>
        </w:numPr>
        <w:spacing w:after="0" w:line="240" w:lineRule="auto"/>
        <w:ind w:left="284" w:right="-6" w:hanging="284"/>
        <w:jc w:val="both"/>
        <w:rPr>
          <w:rFonts w:ascii="Palatino Linotype" w:hAnsi="Palatino Linotype"/>
          <w:lang w:val="tg-Cyrl-TJ"/>
        </w:rPr>
      </w:pPr>
      <w:r w:rsidRPr="00026244">
        <w:rPr>
          <w:rFonts w:ascii="Palatino Linotype" w:hAnsi="Palatino Linotype"/>
          <w:lang w:val="tg-Cyrl-TJ"/>
        </w:rPr>
        <w:t xml:space="preserve">Денежные переводы </w:t>
      </w:r>
    </w:p>
    <w:p w:rsidR="00FB5F40" w:rsidRPr="00026244" w:rsidRDefault="00FB5F40" w:rsidP="00D930DC">
      <w:pPr>
        <w:numPr>
          <w:ilvl w:val="1"/>
          <w:numId w:val="6"/>
        </w:numPr>
        <w:spacing w:after="0" w:line="240" w:lineRule="auto"/>
        <w:ind w:left="284" w:right="-6" w:hanging="284"/>
        <w:jc w:val="both"/>
        <w:rPr>
          <w:rFonts w:ascii="Palatino Linotype" w:hAnsi="Palatino Linotype"/>
          <w:color w:val="FF0000"/>
          <w:lang w:val="tg-Cyrl-TJ"/>
        </w:rPr>
      </w:pPr>
      <w:r w:rsidRPr="00026244">
        <w:rPr>
          <w:rFonts w:ascii="Palatino Linotype" w:hAnsi="Palatino Linotype"/>
          <w:lang w:val="tg-Cyrl-TJ"/>
        </w:rPr>
        <w:t>Приём коммунальных платежей и прочие виды услуг.</w:t>
      </w: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tabs>
          <w:tab w:val="num" w:pos="284"/>
        </w:tabs>
        <w:ind w:left="284" w:hanging="284"/>
        <w:rPr>
          <w:rFonts w:ascii="Palatino Linotype" w:hAnsi="Palatino Linotype"/>
        </w:rPr>
      </w:pPr>
    </w:p>
    <w:p w:rsidR="00FB5F40" w:rsidRPr="00026244" w:rsidRDefault="00FB5F40" w:rsidP="00D930DC">
      <w:pPr>
        <w:spacing w:after="0"/>
        <w:jc w:val="both"/>
        <w:rPr>
          <w:rFonts w:ascii="Palatino Linotype" w:hAnsi="Palatino Linotype"/>
          <w:b/>
          <w:color w:val="8064A2"/>
          <w:sz w:val="28"/>
          <w:szCs w:val="28"/>
        </w:rPr>
      </w:pPr>
      <w:r w:rsidRPr="00026244">
        <w:rPr>
          <w:rFonts w:ascii="Palatino Linotype" w:hAnsi="Palatino Linotype"/>
          <w:b/>
          <w:color w:val="8064A2"/>
          <w:sz w:val="28"/>
          <w:szCs w:val="28"/>
          <w:lang w:val="en-US"/>
        </w:rPr>
        <w:lastRenderedPageBreak/>
        <w:t xml:space="preserve">Scope of Bank’s activities </w:t>
      </w:r>
    </w:p>
    <w:p w:rsidR="00FB5F40" w:rsidRPr="00026244" w:rsidRDefault="00FB5F40" w:rsidP="00D930DC">
      <w:pPr>
        <w:spacing w:after="0"/>
        <w:jc w:val="both"/>
        <w:rPr>
          <w:rFonts w:ascii="Palatino Linotype" w:hAnsi="Palatino Linotype"/>
          <w:b/>
          <w:lang w:val="en-US"/>
        </w:rPr>
      </w:pPr>
    </w:p>
    <w:p w:rsidR="00FB5F40" w:rsidRPr="00026244" w:rsidRDefault="00FB5F40" w:rsidP="00D930DC">
      <w:pPr>
        <w:numPr>
          <w:ilvl w:val="1"/>
          <w:numId w:val="3"/>
        </w:numPr>
        <w:tabs>
          <w:tab w:val="clear" w:pos="786"/>
          <w:tab w:val="num" w:pos="720"/>
        </w:tabs>
        <w:spacing w:after="0" w:line="240" w:lineRule="auto"/>
        <w:ind w:left="720" w:right="-6" w:hanging="294"/>
        <w:jc w:val="both"/>
        <w:rPr>
          <w:rFonts w:ascii="Palatino Linotype" w:hAnsi="Palatino Linotype"/>
        </w:rPr>
      </w:pPr>
      <w:r w:rsidRPr="00026244">
        <w:rPr>
          <w:rFonts w:ascii="Palatino Linotype" w:hAnsi="Palatino Linotype"/>
          <w:lang w:val="en-US"/>
        </w:rPr>
        <w:t xml:space="preserve"> Cash services</w:t>
      </w:r>
    </w:p>
    <w:p w:rsidR="00FB5F40" w:rsidRPr="00026244" w:rsidRDefault="00FB5F40" w:rsidP="00D930DC">
      <w:pPr>
        <w:numPr>
          <w:ilvl w:val="1"/>
          <w:numId w:val="3"/>
        </w:numPr>
        <w:spacing w:after="0" w:line="240" w:lineRule="auto"/>
        <w:ind w:right="-6"/>
        <w:jc w:val="both"/>
        <w:rPr>
          <w:rFonts w:ascii="Palatino Linotype" w:hAnsi="Palatino Linotype"/>
          <w:color w:val="FF0000"/>
          <w:lang w:val="tg-Cyrl-TJ"/>
        </w:rPr>
      </w:pPr>
      <w:r w:rsidRPr="00026244">
        <w:rPr>
          <w:rFonts w:ascii="Palatino Linotype" w:hAnsi="Palatino Linotype"/>
          <w:lang w:val="en-US"/>
        </w:rPr>
        <w:t>Service to budget sphere</w:t>
      </w:r>
    </w:p>
    <w:p w:rsidR="00FB5F40" w:rsidRPr="00026244" w:rsidRDefault="00FB5F40" w:rsidP="00D930DC">
      <w:pPr>
        <w:numPr>
          <w:ilvl w:val="1"/>
          <w:numId w:val="3"/>
        </w:numPr>
        <w:spacing w:after="0" w:line="240" w:lineRule="auto"/>
        <w:ind w:right="-6"/>
        <w:jc w:val="both"/>
        <w:rPr>
          <w:rFonts w:ascii="Palatino Linotype" w:hAnsi="Palatino Linotype"/>
          <w:lang w:val="tg-Cyrl-TJ"/>
        </w:rPr>
      </w:pPr>
      <w:r w:rsidRPr="00026244">
        <w:rPr>
          <w:rFonts w:ascii="Palatino Linotype" w:hAnsi="Palatino Linotype"/>
          <w:lang w:val="en-US"/>
        </w:rPr>
        <w:t>Pension service</w:t>
      </w:r>
    </w:p>
    <w:p w:rsidR="00FB5F40" w:rsidRPr="00026244" w:rsidRDefault="00FB5F40" w:rsidP="00D930DC">
      <w:pPr>
        <w:numPr>
          <w:ilvl w:val="1"/>
          <w:numId w:val="3"/>
        </w:numPr>
        <w:spacing w:after="0" w:line="240" w:lineRule="auto"/>
        <w:ind w:right="-6"/>
        <w:jc w:val="both"/>
        <w:rPr>
          <w:rFonts w:ascii="Palatino Linotype" w:hAnsi="Palatino Linotype"/>
          <w:lang w:val="tg-Cyrl-TJ"/>
        </w:rPr>
      </w:pPr>
      <w:r w:rsidRPr="00026244">
        <w:rPr>
          <w:rFonts w:ascii="Palatino Linotype" w:hAnsi="Palatino Linotype"/>
          <w:lang w:val="en-US"/>
        </w:rPr>
        <w:t>Deposit and savings transactions and transactions through plastic cards</w:t>
      </w:r>
    </w:p>
    <w:p w:rsidR="00FB5F40" w:rsidRPr="00026244" w:rsidRDefault="00FB5F40" w:rsidP="00D930DC">
      <w:pPr>
        <w:numPr>
          <w:ilvl w:val="1"/>
          <w:numId w:val="3"/>
        </w:numPr>
        <w:tabs>
          <w:tab w:val="num" w:pos="1980"/>
        </w:tabs>
        <w:spacing w:after="0" w:line="240" w:lineRule="auto"/>
        <w:ind w:right="-6"/>
        <w:jc w:val="both"/>
        <w:rPr>
          <w:rFonts w:ascii="Palatino Linotype" w:hAnsi="Palatino Linotype"/>
          <w:lang w:val="tg-Cyrl-TJ"/>
        </w:rPr>
      </w:pPr>
      <w:r w:rsidRPr="00026244">
        <w:rPr>
          <w:rFonts w:ascii="Palatino Linotype" w:hAnsi="Palatino Linotype"/>
          <w:lang w:val="en-US"/>
        </w:rPr>
        <w:t>Crediting</w:t>
      </w:r>
    </w:p>
    <w:p w:rsidR="00FB5F40" w:rsidRPr="00026244" w:rsidRDefault="00FB5F40" w:rsidP="00D930DC">
      <w:pPr>
        <w:numPr>
          <w:ilvl w:val="1"/>
          <w:numId w:val="3"/>
        </w:numPr>
        <w:tabs>
          <w:tab w:val="num" w:pos="1980"/>
        </w:tabs>
        <w:spacing w:after="0" w:line="240" w:lineRule="auto"/>
        <w:ind w:right="-6"/>
        <w:jc w:val="both"/>
        <w:rPr>
          <w:rFonts w:ascii="Palatino Linotype" w:hAnsi="Palatino Linotype"/>
          <w:lang w:val="tg-Cyrl-TJ"/>
        </w:rPr>
      </w:pPr>
      <w:r w:rsidRPr="00026244">
        <w:rPr>
          <w:rFonts w:ascii="Palatino Linotype" w:hAnsi="Palatino Linotype"/>
          <w:lang w:val="en-US"/>
        </w:rPr>
        <w:t>Currency transactions</w:t>
      </w:r>
    </w:p>
    <w:p w:rsidR="00FB5F40" w:rsidRPr="00026244" w:rsidRDefault="00FB5F40" w:rsidP="00D930DC">
      <w:pPr>
        <w:numPr>
          <w:ilvl w:val="1"/>
          <w:numId w:val="3"/>
        </w:numPr>
        <w:tabs>
          <w:tab w:val="num" w:pos="1980"/>
        </w:tabs>
        <w:spacing w:after="0" w:line="240" w:lineRule="auto"/>
        <w:ind w:right="-6"/>
        <w:jc w:val="both"/>
        <w:rPr>
          <w:rFonts w:ascii="Palatino Linotype" w:hAnsi="Palatino Linotype"/>
          <w:color w:val="FF0000"/>
          <w:lang w:val="tg-Cyrl-TJ"/>
        </w:rPr>
      </w:pPr>
      <w:r w:rsidRPr="00026244">
        <w:rPr>
          <w:rFonts w:ascii="Palatino Linotype" w:hAnsi="Palatino Linotype"/>
          <w:lang w:val="en-US"/>
        </w:rPr>
        <w:t>Securities transactions</w:t>
      </w:r>
    </w:p>
    <w:p w:rsidR="00FB5F40" w:rsidRPr="00026244" w:rsidRDefault="00FB5F40" w:rsidP="00D930DC">
      <w:pPr>
        <w:numPr>
          <w:ilvl w:val="1"/>
          <w:numId w:val="3"/>
        </w:numPr>
        <w:spacing w:after="0" w:line="240" w:lineRule="auto"/>
        <w:ind w:right="-6"/>
        <w:jc w:val="both"/>
        <w:rPr>
          <w:rFonts w:ascii="Palatino Linotype" w:hAnsi="Palatino Linotype"/>
          <w:lang w:val="tg-Cyrl-TJ"/>
        </w:rPr>
      </w:pPr>
      <w:r w:rsidRPr="00026244">
        <w:rPr>
          <w:rFonts w:ascii="Palatino Linotype" w:hAnsi="Palatino Linotype"/>
          <w:lang w:val="en-US"/>
        </w:rPr>
        <w:t>Remittances</w:t>
      </w:r>
    </w:p>
    <w:p w:rsidR="00FB5F40" w:rsidRPr="00026244" w:rsidRDefault="00FB5F40" w:rsidP="00D930DC">
      <w:pPr>
        <w:numPr>
          <w:ilvl w:val="1"/>
          <w:numId w:val="3"/>
        </w:numPr>
        <w:tabs>
          <w:tab w:val="num" w:pos="1980"/>
        </w:tabs>
        <w:spacing w:after="0" w:line="240" w:lineRule="auto"/>
        <w:ind w:right="-6"/>
        <w:jc w:val="both"/>
        <w:rPr>
          <w:rFonts w:ascii="Palatino Linotype" w:hAnsi="Palatino Linotype"/>
          <w:color w:val="FF0000"/>
          <w:lang w:val="tg-Cyrl-TJ"/>
        </w:rPr>
      </w:pPr>
      <w:r w:rsidRPr="00026244">
        <w:rPr>
          <w:rFonts w:ascii="Palatino Linotype" w:hAnsi="Palatino Linotype"/>
          <w:lang w:val="en-US"/>
        </w:rPr>
        <w:t>Collection of utility payments and other services</w:t>
      </w:r>
      <w:r w:rsidRPr="00026244">
        <w:rPr>
          <w:rFonts w:ascii="Palatino Linotype" w:hAnsi="Palatino Linotype"/>
          <w:lang w:val="tg-Cyrl-TJ"/>
        </w:rPr>
        <w:t>.</w:t>
      </w:r>
    </w:p>
    <w:p w:rsidR="00FB5F40" w:rsidRPr="00026244" w:rsidRDefault="00FB5F40" w:rsidP="00D930DC">
      <w:pPr>
        <w:tabs>
          <w:tab w:val="num" w:pos="284"/>
        </w:tabs>
        <w:ind w:left="284" w:hanging="284"/>
        <w:rPr>
          <w:rFonts w:ascii="Palatino Linotype" w:hAnsi="Palatino Linotype"/>
          <w:lang w:val="tg-Cyrl-TJ"/>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pPr>
    </w:p>
    <w:p w:rsidR="00FB5F40" w:rsidRPr="00026244" w:rsidRDefault="00FB5F40" w:rsidP="00D930DC">
      <w:pPr>
        <w:tabs>
          <w:tab w:val="num" w:pos="284"/>
        </w:tabs>
        <w:ind w:left="284" w:hanging="284"/>
        <w:rPr>
          <w:rFonts w:ascii="Palatino Linotype" w:hAnsi="Palatino Linotype"/>
          <w:lang w:val="en-US"/>
        </w:rPr>
        <w:sectPr w:rsidR="00FB5F40" w:rsidRPr="00026244" w:rsidSect="00CA692B">
          <w:type w:val="continuous"/>
          <w:pgSz w:w="11906" w:h="16838"/>
          <w:pgMar w:top="1134" w:right="850" w:bottom="1134" w:left="1134" w:header="708" w:footer="708" w:gutter="0"/>
          <w:cols w:num="2" w:space="566"/>
          <w:docGrid w:linePitch="360"/>
        </w:sectPr>
      </w:pPr>
    </w:p>
    <w:p w:rsidR="00FB5F40" w:rsidRPr="00026244" w:rsidRDefault="00FB5F40" w:rsidP="00603CC2">
      <w:pPr>
        <w:spacing w:after="0"/>
        <w:ind w:right="-154"/>
        <w:rPr>
          <w:rStyle w:val="a8"/>
          <w:rFonts w:ascii="Palatino Linotype" w:hAnsi="Palatino Linotype"/>
          <w:color w:val="006600"/>
          <w:u w:val="none"/>
        </w:rPr>
      </w:pPr>
      <w:r w:rsidRPr="00026244">
        <w:rPr>
          <w:rStyle w:val="a8"/>
          <w:rFonts w:ascii="Palatino Linotype" w:hAnsi="Palatino Linotype"/>
          <w:color w:val="006600"/>
          <w:sz w:val="28"/>
          <w:szCs w:val="28"/>
          <w:u w:val="none"/>
        </w:rPr>
        <w:lastRenderedPageBreak/>
        <w:t>МЕНЕДЖМЕНТ ГСБ РТ «АМОНАТБОНК»</w:t>
      </w:r>
    </w:p>
    <w:p w:rsidR="00FB5F40" w:rsidRPr="00026244" w:rsidRDefault="00FB5F40" w:rsidP="00D930DC">
      <w:pPr>
        <w:spacing w:after="0"/>
        <w:ind w:right="-154" w:firstLine="284"/>
        <w:jc w:val="both"/>
        <w:rPr>
          <w:rFonts w:ascii="Palatino Linotype" w:hAnsi="Palatino Linotype"/>
          <w:b/>
        </w:rPr>
      </w:pPr>
    </w:p>
    <w:p w:rsidR="00FB5F40" w:rsidRPr="00026244" w:rsidRDefault="00FB5F40" w:rsidP="00EF010A">
      <w:pPr>
        <w:spacing w:after="0"/>
        <w:ind w:right="-1" w:firstLine="284"/>
        <w:jc w:val="both"/>
        <w:rPr>
          <w:rFonts w:ascii="Palatino Linotype" w:hAnsi="Palatino Linotype"/>
        </w:rPr>
      </w:pPr>
      <w:r w:rsidRPr="00026244">
        <w:rPr>
          <w:rFonts w:ascii="Palatino Linotype" w:hAnsi="Palatino Linotype"/>
        </w:rPr>
        <w:t xml:space="preserve">Стратегическое управление банком осуществляет Правительство Республики Таджикистан </w:t>
      </w:r>
    </w:p>
    <w:p w:rsidR="00FB5F40" w:rsidRPr="00026244" w:rsidRDefault="00FB5F40" w:rsidP="00EF010A">
      <w:pPr>
        <w:spacing w:after="0"/>
        <w:ind w:right="-1" w:firstLine="284"/>
        <w:jc w:val="both"/>
        <w:rPr>
          <w:rFonts w:ascii="Palatino Linotype" w:hAnsi="Palatino Linotype"/>
        </w:rPr>
      </w:pPr>
      <w:r w:rsidRPr="00026244">
        <w:rPr>
          <w:rFonts w:ascii="Palatino Linotype" w:hAnsi="Palatino Linotype"/>
        </w:rPr>
        <w:t xml:space="preserve">Оперативное управление возложено на Председателя Правления и членов Правления Банка.  </w:t>
      </w:r>
    </w:p>
    <w:p w:rsidR="00FB5F40" w:rsidRPr="00026244" w:rsidRDefault="00FB5F40" w:rsidP="00EF010A">
      <w:pPr>
        <w:spacing w:after="0"/>
        <w:ind w:right="-1"/>
        <w:rPr>
          <w:rFonts w:ascii="Palatino Linotype" w:hAnsi="Palatino Linotype"/>
        </w:rPr>
      </w:pPr>
      <w:r w:rsidRPr="00026244">
        <w:rPr>
          <w:rFonts w:ascii="Palatino Linotype" w:hAnsi="Palatino Linotype"/>
        </w:rPr>
        <w:t>Правление ГСБ РТ «</w:t>
      </w:r>
      <w:proofErr w:type="spellStart"/>
      <w:r w:rsidRPr="00026244">
        <w:rPr>
          <w:rFonts w:ascii="Palatino Linotype" w:hAnsi="Palatino Linotype"/>
        </w:rPr>
        <w:t>Амонатбонк</w:t>
      </w:r>
      <w:proofErr w:type="spellEnd"/>
      <w:r w:rsidRPr="00026244">
        <w:rPr>
          <w:rFonts w:ascii="Palatino Linotype" w:hAnsi="Palatino Linotype"/>
        </w:rPr>
        <w:t>»                      (на 31.12.2011 г.):</w:t>
      </w:r>
    </w:p>
    <w:p w:rsidR="00FB5F40" w:rsidRPr="00026244" w:rsidRDefault="00FB5F40" w:rsidP="00EF010A">
      <w:pPr>
        <w:spacing w:before="240"/>
        <w:ind w:right="-1"/>
        <w:jc w:val="both"/>
        <w:rPr>
          <w:rFonts w:ascii="Palatino Linotype" w:hAnsi="Palatino Linotype"/>
          <w:b/>
        </w:rPr>
      </w:pPr>
      <w:r w:rsidRPr="00026244">
        <w:rPr>
          <w:rFonts w:ascii="Palatino Linotype" w:hAnsi="Palatino Linotype"/>
          <w:b/>
        </w:rPr>
        <w:t xml:space="preserve">Хасанова  </w:t>
      </w:r>
      <w:proofErr w:type="spellStart"/>
      <w:r w:rsidRPr="00026244">
        <w:rPr>
          <w:rFonts w:ascii="Palatino Linotype" w:hAnsi="Palatino Linotype"/>
          <w:b/>
        </w:rPr>
        <w:t>Гульнора</w:t>
      </w:r>
      <w:proofErr w:type="spellEnd"/>
      <w:r w:rsidR="003B12EC" w:rsidRPr="00026244">
        <w:rPr>
          <w:rFonts w:ascii="Palatino Linotype" w:hAnsi="Palatino Linotype"/>
          <w:b/>
        </w:rPr>
        <w:t xml:space="preserve"> </w:t>
      </w:r>
      <w:proofErr w:type="spellStart"/>
      <w:r w:rsidRPr="00026244">
        <w:rPr>
          <w:rFonts w:ascii="Palatino Linotype" w:hAnsi="Palatino Linotype"/>
          <w:b/>
        </w:rPr>
        <w:t>Кенджаевна</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Председатель Правления  ГСБ РТ «</w:t>
      </w:r>
      <w:proofErr w:type="spellStart"/>
      <w:r w:rsidRPr="00026244">
        <w:rPr>
          <w:rFonts w:ascii="Palatino Linotype" w:hAnsi="Palatino Linotype"/>
        </w:rPr>
        <w:t>Амонатбонк</w:t>
      </w:r>
      <w:proofErr w:type="spellEnd"/>
      <w:r w:rsidRPr="00026244">
        <w:rPr>
          <w:rFonts w:ascii="Palatino Linotype" w:hAnsi="Palatino Linotype"/>
        </w:rPr>
        <w:t>»</w:t>
      </w:r>
    </w:p>
    <w:p w:rsidR="00FB5F40" w:rsidRPr="00026244" w:rsidRDefault="00FB5F40" w:rsidP="00EF010A">
      <w:pPr>
        <w:spacing w:after="0"/>
        <w:ind w:right="-1"/>
        <w:jc w:val="both"/>
        <w:rPr>
          <w:rFonts w:ascii="Palatino Linotype" w:hAnsi="Palatino Linotype"/>
          <w:b/>
        </w:rPr>
      </w:pPr>
      <w:proofErr w:type="spellStart"/>
      <w:r w:rsidRPr="00026244">
        <w:rPr>
          <w:rFonts w:ascii="Palatino Linotype" w:hAnsi="Palatino Linotype"/>
          <w:b/>
        </w:rPr>
        <w:t>Икромов</w:t>
      </w:r>
      <w:proofErr w:type="spellEnd"/>
      <w:r w:rsidR="003B12EC" w:rsidRPr="00026244">
        <w:rPr>
          <w:rFonts w:ascii="Palatino Linotype" w:hAnsi="Palatino Linotype"/>
          <w:b/>
        </w:rPr>
        <w:t xml:space="preserve"> </w:t>
      </w:r>
      <w:proofErr w:type="spellStart"/>
      <w:r w:rsidRPr="00026244">
        <w:rPr>
          <w:rFonts w:ascii="Palatino Linotype" w:hAnsi="Palatino Linotype"/>
          <w:b/>
        </w:rPr>
        <w:t>Сироджидин</w:t>
      </w:r>
      <w:proofErr w:type="spellEnd"/>
      <w:r w:rsidR="003B12EC" w:rsidRPr="00026244">
        <w:rPr>
          <w:rFonts w:ascii="Palatino Linotype" w:hAnsi="Palatino Linotype"/>
          <w:b/>
        </w:rPr>
        <w:t xml:space="preserve"> </w:t>
      </w:r>
      <w:proofErr w:type="spellStart"/>
      <w:r w:rsidRPr="00026244">
        <w:rPr>
          <w:rFonts w:ascii="Palatino Linotype" w:hAnsi="Palatino Linotype"/>
          <w:b/>
        </w:rPr>
        <w:t>Саломович</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Заместитель Председателя  Правления ГСБ РТ «</w:t>
      </w:r>
      <w:proofErr w:type="spellStart"/>
      <w:r w:rsidRPr="00026244">
        <w:rPr>
          <w:rFonts w:ascii="Palatino Linotype" w:hAnsi="Palatino Linotype"/>
        </w:rPr>
        <w:t>Амонатбонк</w:t>
      </w:r>
      <w:proofErr w:type="spellEnd"/>
      <w:r w:rsidRPr="00026244">
        <w:rPr>
          <w:rFonts w:ascii="Palatino Linotype" w:hAnsi="Palatino Linotype"/>
        </w:rPr>
        <w:t>»</w:t>
      </w:r>
    </w:p>
    <w:p w:rsidR="00FB5F40" w:rsidRPr="00026244" w:rsidRDefault="00FB5F40" w:rsidP="00EF010A">
      <w:pPr>
        <w:spacing w:after="0"/>
        <w:ind w:right="-1"/>
        <w:jc w:val="both"/>
        <w:rPr>
          <w:rFonts w:ascii="Palatino Linotype" w:hAnsi="Palatino Linotype"/>
          <w:b/>
        </w:rPr>
      </w:pPr>
    </w:p>
    <w:p w:rsidR="00FB5F40" w:rsidRPr="00026244" w:rsidRDefault="00FB5F40" w:rsidP="00EF010A">
      <w:pPr>
        <w:spacing w:after="0"/>
        <w:ind w:right="-1"/>
        <w:jc w:val="both"/>
        <w:rPr>
          <w:rFonts w:ascii="Palatino Linotype" w:hAnsi="Palatino Linotype"/>
          <w:b/>
        </w:rPr>
      </w:pPr>
      <w:r w:rsidRPr="00026244">
        <w:rPr>
          <w:rFonts w:ascii="Palatino Linotype" w:hAnsi="Palatino Linotype"/>
          <w:b/>
        </w:rPr>
        <w:t xml:space="preserve">Саидов  </w:t>
      </w:r>
      <w:proofErr w:type="spellStart"/>
      <w:r w:rsidRPr="00026244">
        <w:rPr>
          <w:rFonts w:ascii="Palatino Linotype" w:hAnsi="Palatino Linotype"/>
          <w:b/>
        </w:rPr>
        <w:t>Абдуманон</w:t>
      </w:r>
      <w:proofErr w:type="spellEnd"/>
      <w:r w:rsidR="00513EA6" w:rsidRPr="00026244">
        <w:rPr>
          <w:rFonts w:ascii="Palatino Linotype" w:hAnsi="Palatino Linotype"/>
          <w:b/>
        </w:rPr>
        <w:t xml:space="preserve"> </w:t>
      </w:r>
      <w:proofErr w:type="spellStart"/>
      <w:r w:rsidRPr="00026244">
        <w:rPr>
          <w:rFonts w:ascii="Palatino Linotype" w:hAnsi="Palatino Linotype"/>
          <w:b/>
        </w:rPr>
        <w:t>Бозоралиевич</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Заместитель Председателя  Правления ГСБ РТ «</w:t>
      </w:r>
      <w:proofErr w:type="spellStart"/>
      <w:r w:rsidRPr="00026244">
        <w:rPr>
          <w:rFonts w:ascii="Palatino Linotype" w:hAnsi="Palatino Linotype"/>
        </w:rPr>
        <w:t>Амонатбонк</w:t>
      </w:r>
      <w:proofErr w:type="spellEnd"/>
      <w:r w:rsidRPr="00026244">
        <w:rPr>
          <w:rFonts w:ascii="Palatino Linotype" w:hAnsi="Palatino Linotype"/>
        </w:rPr>
        <w:t>»</w:t>
      </w:r>
    </w:p>
    <w:p w:rsidR="00FB5F40" w:rsidRPr="00026244" w:rsidRDefault="00FB5F40" w:rsidP="00EF010A">
      <w:pPr>
        <w:spacing w:after="0"/>
        <w:ind w:right="-1"/>
        <w:jc w:val="both"/>
        <w:rPr>
          <w:rFonts w:ascii="Palatino Linotype" w:hAnsi="Palatino Linotype"/>
          <w:b/>
        </w:rPr>
      </w:pPr>
      <w:proofErr w:type="spellStart"/>
      <w:r w:rsidRPr="00026244">
        <w:rPr>
          <w:rFonts w:ascii="Palatino Linotype" w:hAnsi="Palatino Linotype"/>
          <w:b/>
        </w:rPr>
        <w:t>Холиков</w:t>
      </w:r>
      <w:proofErr w:type="spellEnd"/>
      <w:r w:rsidR="00513EA6" w:rsidRPr="00026244">
        <w:rPr>
          <w:rFonts w:ascii="Palatino Linotype" w:hAnsi="Palatino Linotype"/>
          <w:b/>
        </w:rPr>
        <w:t xml:space="preserve"> </w:t>
      </w:r>
      <w:proofErr w:type="spellStart"/>
      <w:r w:rsidRPr="00026244">
        <w:rPr>
          <w:rFonts w:ascii="Palatino Linotype" w:hAnsi="Palatino Linotype"/>
          <w:b/>
        </w:rPr>
        <w:t>Хокимджон</w:t>
      </w:r>
      <w:proofErr w:type="spellEnd"/>
      <w:r w:rsidR="00513EA6" w:rsidRPr="00026244">
        <w:rPr>
          <w:rFonts w:ascii="Palatino Linotype" w:hAnsi="Palatino Linotype"/>
          <w:b/>
        </w:rPr>
        <w:t xml:space="preserve"> </w:t>
      </w:r>
      <w:proofErr w:type="spellStart"/>
      <w:r w:rsidRPr="00026244">
        <w:rPr>
          <w:rFonts w:ascii="Palatino Linotype" w:hAnsi="Palatino Linotype"/>
          <w:b/>
        </w:rPr>
        <w:t>Хикматуллоевич</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Директор  Департамента  казначейства ГСБ РТ «</w:t>
      </w:r>
      <w:proofErr w:type="spellStart"/>
      <w:r w:rsidRPr="00026244">
        <w:rPr>
          <w:rFonts w:ascii="Palatino Linotype" w:hAnsi="Palatino Linotype"/>
        </w:rPr>
        <w:t>Амонатбонк</w:t>
      </w:r>
      <w:proofErr w:type="spellEnd"/>
      <w:r w:rsidRPr="00026244">
        <w:rPr>
          <w:rFonts w:ascii="Palatino Linotype" w:hAnsi="Palatino Linotype"/>
        </w:rPr>
        <w:t>»</w:t>
      </w:r>
    </w:p>
    <w:p w:rsidR="00FB5F40" w:rsidRPr="00026244" w:rsidRDefault="00FB5F40" w:rsidP="00EF010A">
      <w:pPr>
        <w:spacing w:after="0"/>
        <w:ind w:right="-1"/>
        <w:jc w:val="both"/>
        <w:rPr>
          <w:rFonts w:ascii="Palatino Linotype" w:hAnsi="Palatino Linotype"/>
          <w:b/>
        </w:rPr>
      </w:pPr>
      <w:proofErr w:type="spellStart"/>
      <w:r w:rsidRPr="00026244">
        <w:rPr>
          <w:rFonts w:ascii="Palatino Linotype" w:hAnsi="Palatino Linotype"/>
          <w:b/>
        </w:rPr>
        <w:t>Муниева</w:t>
      </w:r>
      <w:proofErr w:type="spellEnd"/>
      <w:r w:rsidRPr="00026244">
        <w:rPr>
          <w:rFonts w:ascii="Palatino Linotype" w:hAnsi="Palatino Linotype"/>
          <w:b/>
        </w:rPr>
        <w:t xml:space="preserve">  Светлана </w:t>
      </w:r>
      <w:proofErr w:type="spellStart"/>
      <w:r w:rsidRPr="00026244">
        <w:rPr>
          <w:rFonts w:ascii="Palatino Linotype" w:hAnsi="Palatino Linotype"/>
          <w:b/>
        </w:rPr>
        <w:t>Мирзоевна</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Директор Департамента кредитования ГСБ РТ «</w:t>
      </w:r>
      <w:proofErr w:type="spellStart"/>
      <w:r w:rsidRPr="00026244">
        <w:rPr>
          <w:rFonts w:ascii="Palatino Linotype" w:hAnsi="Palatino Linotype"/>
        </w:rPr>
        <w:t>Амонатбонк</w:t>
      </w:r>
      <w:proofErr w:type="spellEnd"/>
      <w:r w:rsidRPr="00026244">
        <w:rPr>
          <w:rFonts w:ascii="Palatino Linotype" w:hAnsi="Palatino Linotype"/>
        </w:rPr>
        <w:t>»</w:t>
      </w:r>
    </w:p>
    <w:p w:rsidR="00FB5F40" w:rsidRPr="00026244" w:rsidRDefault="00FB5F40" w:rsidP="00EF010A">
      <w:pPr>
        <w:spacing w:after="0"/>
        <w:ind w:right="-1"/>
        <w:jc w:val="both"/>
        <w:rPr>
          <w:rFonts w:ascii="Palatino Linotype" w:hAnsi="Palatino Linotype"/>
          <w:b/>
        </w:rPr>
      </w:pPr>
      <w:r w:rsidRPr="00026244">
        <w:rPr>
          <w:rFonts w:ascii="Palatino Linotype" w:hAnsi="Palatino Linotype"/>
          <w:b/>
        </w:rPr>
        <w:t xml:space="preserve">Максудова </w:t>
      </w:r>
      <w:proofErr w:type="spellStart"/>
      <w:r w:rsidRPr="00026244">
        <w:rPr>
          <w:rFonts w:ascii="Palatino Linotype" w:hAnsi="Palatino Linotype"/>
          <w:b/>
        </w:rPr>
        <w:t>МунираНазриевна</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Заместитель управляющего филиала №7 ГСБ РТ «</w:t>
      </w:r>
      <w:proofErr w:type="spellStart"/>
      <w:r w:rsidRPr="00026244">
        <w:rPr>
          <w:rFonts w:ascii="Palatino Linotype" w:hAnsi="Palatino Linotype"/>
        </w:rPr>
        <w:t>Амонатбонк</w:t>
      </w:r>
      <w:proofErr w:type="spellEnd"/>
      <w:r w:rsidRPr="00026244">
        <w:rPr>
          <w:rFonts w:ascii="Palatino Linotype" w:hAnsi="Palatino Linotype"/>
        </w:rPr>
        <w:t xml:space="preserve">» в районе   </w:t>
      </w:r>
      <w:proofErr w:type="spellStart"/>
      <w:r w:rsidRPr="00026244">
        <w:rPr>
          <w:rFonts w:ascii="Palatino Linotype" w:hAnsi="Palatino Linotype"/>
        </w:rPr>
        <w:t>Шохмансур</w:t>
      </w:r>
      <w:proofErr w:type="spellEnd"/>
      <w:r w:rsidR="005E38B4" w:rsidRPr="00026244">
        <w:rPr>
          <w:rFonts w:ascii="Palatino Linotype" w:hAnsi="Palatino Linotype"/>
        </w:rPr>
        <w:t xml:space="preserve"> </w:t>
      </w:r>
      <w:proofErr w:type="spellStart"/>
      <w:r w:rsidRPr="00026244">
        <w:rPr>
          <w:rFonts w:ascii="Palatino Linotype" w:hAnsi="Palatino Linotype"/>
        </w:rPr>
        <w:t>г.Душанбе</w:t>
      </w:r>
      <w:proofErr w:type="spellEnd"/>
    </w:p>
    <w:p w:rsidR="00FB5F40" w:rsidRPr="00026244" w:rsidRDefault="00FB5F40" w:rsidP="00EF010A">
      <w:pPr>
        <w:spacing w:after="0"/>
        <w:ind w:right="-1"/>
        <w:jc w:val="both"/>
        <w:rPr>
          <w:rFonts w:ascii="Palatino Linotype" w:hAnsi="Palatino Linotype"/>
          <w:b/>
        </w:rPr>
      </w:pPr>
      <w:proofErr w:type="spellStart"/>
      <w:r w:rsidRPr="00026244">
        <w:rPr>
          <w:rFonts w:ascii="Palatino Linotype" w:hAnsi="Palatino Linotype"/>
          <w:b/>
        </w:rPr>
        <w:t>Раджабов</w:t>
      </w:r>
      <w:proofErr w:type="spellEnd"/>
      <w:r w:rsidR="003B12EC" w:rsidRPr="00026244">
        <w:rPr>
          <w:rFonts w:ascii="Palatino Linotype" w:hAnsi="Palatino Linotype"/>
          <w:b/>
        </w:rPr>
        <w:t xml:space="preserve"> </w:t>
      </w:r>
      <w:proofErr w:type="spellStart"/>
      <w:r w:rsidRPr="00026244">
        <w:rPr>
          <w:rFonts w:ascii="Palatino Linotype" w:hAnsi="Palatino Linotype"/>
          <w:b/>
        </w:rPr>
        <w:t>Раджабали</w:t>
      </w:r>
      <w:proofErr w:type="spellEnd"/>
      <w:r w:rsidR="003B12EC" w:rsidRPr="00026244">
        <w:rPr>
          <w:rFonts w:ascii="Palatino Linotype" w:hAnsi="Palatino Linotype"/>
          <w:b/>
        </w:rPr>
        <w:t xml:space="preserve"> </w:t>
      </w:r>
      <w:proofErr w:type="spellStart"/>
      <w:r w:rsidRPr="00026244">
        <w:rPr>
          <w:rFonts w:ascii="Palatino Linotype" w:hAnsi="Palatino Linotype"/>
          <w:b/>
        </w:rPr>
        <w:t>Сайфиддинович</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Заместитель  Министра финансов Республики Таджикистан</w:t>
      </w:r>
    </w:p>
    <w:p w:rsidR="00FB5F40" w:rsidRPr="00026244" w:rsidRDefault="00FB5F40" w:rsidP="00EF010A">
      <w:pPr>
        <w:spacing w:after="0"/>
        <w:ind w:right="-1"/>
        <w:rPr>
          <w:rFonts w:ascii="Palatino Linotype" w:hAnsi="Palatino Linotype"/>
          <w:b/>
        </w:rPr>
      </w:pPr>
      <w:proofErr w:type="spellStart"/>
      <w:r w:rsidRPr="00026244">
        <w:rPr>
          <w:rFonts w:ascii="Palatino Linotype" w:hAnsi="Palatino Linotype"/>
          <w:b/>
        </w:rPr>
        <w:t>Абибулоев</w:t>
      </w:r>
      <w:proofErr w:type="spellEnd"/>
      <w:r w:rsidR="003B12EC" w:rsidRPr="00026244">
        <w:rPr>
          <w:rFonts w:ascii="Palatino Linotype" w:hAnsi="Palatino Linotype"/>
          <w:b/>
        </w:rPr>
        <w:t xml:space="preserve"> </w:t>
      </w:r>
      <w:proofErr w:type="spellStart"/>
      <w:r w:rsidRPr="00026244">
        <w:rPr>
          <w:rFonts w:ascii="Palatino Linotype" w:hAnsi="Palatino Linotype"/>
          <w:b/>
        </w:rPr>
        <w:t>Назрулло</w:t>
      </w:r>
      <w:proofErr w:type="spellEnd"/>
    </w:p>
    <w:p w:rsidR="00FB5F40" w:rsidRPr="00026244" w:rsidRDefault="00FB5F40" w:rsidP="00EF010A">
      <w:pPr>
        <w:spacing w:after="0"/>
        <w:ind w:right="-1"/>
        <w:rPr>
          <w:rFonts w:ascii="Palatino Linotype" w:hAnsi="Palatino Linotype"/>
        </w:rPr>
      </w:pPr>
      <w:r w:rsidRPr="00026244">
        <w:rPr>
          <w:rFonts w:ascii="Palatino Linotype" w:hAnsi="Palatino Linotype"/>
        </w:rPr>
        <w:t>Начальник Департамента по  Государственному   бюджету</w:t>
      </w:r>
      <w:r w:rsidR="003B12EC" w:rsidRPr="00026244">
        <w:rPr>
          <w:rFonts w:ascii="Palatino Linotype" w:hAnsi="Palatino Linotype"/>
        </w:rPr>
        <w:t xml:space="preserve"> </w:t>
      </w:r>
      <w:r w:rsidRPr="00026244">
        <w:rPr>
          <w:rFonts w:ascii="Palatino Linotype" w:hAnsi="Palatino Linotype"/>
        </w:rPr>
        <w:t>Министерства финансов Республики Таджикистан.</w:t>
      </w:r>
    </w:p>
    <w:p w:rsidR="00FB5F40" w:rsidRPr="00026244" w:rsidRDefault="00FB5F40" w:rsidP="00603CC2">
      <w:pPr>
        <w:spacing w:after="0"/>
        <w:ind w:right="-154"/>
        <w:rPr>
          <w:rFonts w:ascii="Palatino Linotype" w:hAnsi="Palatino Linotype"/>
          <w:b/>
          <w:color w:val="8064A2"/>
          <w:sz w:val="28"/>
          <w:szCs w:val="28"/>
          <w:lang w:val="en-US"/>
        </w:rPr>
      </w:pPr>
      <w:r w:rsidRPr="00026244">
        <w:rPr>
          <w:rFonts w:ascii="Palatino Linotype" w:hAnsi="Palatino Linotype"/>
          <w:b/>
          <w:color w:val="8064A2"/>
          <w:sz w:val="28"/>
          <w:szCs w:val="28"/>
          <w:lang w:val="en-US"/>
        </w:rPr>
        <w:lastRenderedPageBreak/>
        <w:t>MANAGEMENT OF THE SSB RT “AMONATBONK”</w:t>
      </w:r>
    </w:p>
    <w:p w:rsidR="00FB5F40" w:rsidRPr="00026244" w:rsidRDefault="00FB5F40" w:rsidP="00603CC2">
      <w:pPr>
        <w:spacing w:after="0"/>
        <w:ind w:right="-154" w:firstLine="284"/>
        <w:jc w:val="both"/>
        <w:rPr>
          <w:rFonts w:ascii="Palatino Linotype" w:hAnsi="Palatino Linotype"/>
          <w:b/>
          <w:lang w:val="en-US"/>
        </w:rPr>
      </w:pPr>
    </w:p>
    <w:p w:rsidR="00FB5F40" w:rsidRPr="00026244" w:rsidRDefault="00FB5F40" w:rsidP="00603CC2">
      <w:pPr>
        <w:spacing w:after="0"/>
        <w:ind w:right="-154" w:firstLine="284"/>
        <w:jc w:val="both"/>
        <w:rPr>
          <w:rFonts w:ascii="Palatino Linotype" w:hAnsi="Palatino Linotype"/>
          <w:lang w:val="en-US"/>
        </w:rPr>
      </w:pPr>
      <w:r w:rsidRPr="00026244">
        <w:rPr>
          <w:rFonts w:ascii="Palatino Linotype" w:hAnsi="Palatino Linotype"/>
          <w:lang w:val="en-US"/>
        </w:rPr>
        <w:t>Strategic m</w:t>
      </w:r>
      <w:r w:rsidR="00013302" w:rsidRPr="00026244">
        <w:rPr>
          <w:rFonts w:ascii="Palatino Linotype" w:hAnsi="Palatino Linotype"/>
          <w:lang w:val="en-US"/>
        </w:rPr>
        <w:t>a</w:t>
      </w:r>
      <w:r w:rsidRPr="00026244">
        <w:rPr>
          <w:rFonts w:ascii="Palatino Linotype" w:hAnsi="Palatino Linotype"/>
          <w:lang w:val="en-US"/>
        </w:rPr>
        <w:t>n</w:t>
      </w:r>
      <w:r w:rsidR="00013302" w:rsidRPr="00026244">
        <w:rPr>
          <w:rFonts w:ascii="Palatino Linotype" w:hAnsi="Palatino Linotype"/>
          <w:lang w:val="en-US"/>
        </w:rPr>
        <w:t>a</w:t>
      </w:r>
      <w:r w:rsidRPr="00026244">
        <w:rPr>
          <w:rFonts w:ascii="Palatino Linotype" w:hAnsi="Palatino Linotype"/>
          <w:lang w:val="en-US"/>
        </w:rPr>
        <w:t xml:space="preserve">gement of the Bank is carried out by the Government of the Republic of Tajikistan </w:t>
      </w:r>
    </w:p>
    <w:p w:rsidR="00FB5F40" w:rsidRPr="00026244" w:rsidRDefault="00FB5F40" w:rsidP="00603CC2">
      <w:pPr>
        <w:spacing w:after="0"/>
        <w:ind w:right="-154" w:firstLine="284"/>
        <w:jc w:val="both"/>
        <w:rPr>
          <w:rFonts w:ascii="Palatino Linotype" w:hAnsi="Palatino Linotype"/>
          <w:lang w:val="en-US"/>
        </w:rPr>
      </w:pPr>
      <w:r w:rsidRPr="00026244">
        <w:rPr>
          <w:rFonts w:ascii="Palatino Linotype" w:hAnsi="Palatino Linotype"/>
          <w:lang w:val="en-US"/>
        </w:rPr>
        <w:t xml:space="preserve">Operational management is entrusted to the Chairman of the Board and Members of Board of the Bank.  </w:t>
      </w:r>
    </w:p>
    <w:p w:rsidR="00FB5F40" w:rsidRPr="00026244" w:rsidRDefault="00FB5F40" w:rsidP="006D06A6">
      <w:pPr>
        <w:ind w:right="-154"/>
        <w:rPr>
          <w:rFonts w:ascii="Palatino Linotype" w:hAnsi="Palatino Linotype"/>
          <w:lang w:val="en-US"/>
        </w:rPr>
      </w:pPr>
      <w:r w:rsidRPr="00026244">
        <w:rPr>
          <w:rFonts w:ascii="Palatino Linotype" w:hAnsi="Palatino Linotype"/>
          <w:lang w:val="en-US"/>
        </w:rPr>
        <w:t>The Board of the SSB RT “</w:t>
      </w:r>
      <w:proofErr w:type="spellStart"/>
      <w:r w:rsidRPr="00026244">
        <w:rPr>
          <w:rFonts w:ascii="Palatino Linotype" w:hAnsi="Palatino Linotype"/>
          <w:lang w:val="en-US"/>
        </w:rPr>
        <w:t>Amonatbonk</w:t>
      </w:r>
      <w:proofErr w:type="spellEnd"/>
      <w:r w:rsidRPr="00026244">
        <w:rPr>
          <w:rFonts w:ascii="Palatino Linotype" w:hAnsi="Palatino Linotype"/>
          <w:lang w:val="en-US"/>
        </w:rPr>
        <w:t>”                 (as of 31.12.2011):</w:t>
      </w:r>
    </w:p>
    <w:p w:rsidR="00FB5F40" w:rsidRPr="00026244" w:rsidRDefault="00FB5F40" w:rsidP="006D06A6">
      <w:pPr>
        <w:spacing w:after="0" w:line="360" w:lineRule="auto"/>
        <w:ind w:right="-154"/>
        <w:jc w:val="both"/>
        <w:rPr>
          <w:rFonts w:ascii="Palatino Linotype" w:hAnsi="Palatino Linotype"/>
          <w:lang w:val="en-US"/>
        </w:rPr>
      </w:pPr>
      <w:proofErr w:type="spellStart"/>
      <w:r w:rsidRPr="00026244">
        <w:rPr>
          <w:rFonts w:ascii="Palatino Linotype" w:hAnsi="Palatino Linotype"/>
          <w:b/>
          <w:lang w:val="en-US"/>
        </w:rPr>
        <w:t>Hasanova</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Gulnora</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Kenjaevna</w:t>
      </w:r>
      <w:proofErr w:type="spellEnd"/>
    </w:p>
    <w:p w:rsidR="00FB5F40" w:rsidRPr="00026244" w:rsidRDefault="00FB5F40" w:rsidP="006D06A6">
      <w:pPr>
        <w:spacing w:after="0" w:line="360" w:lineRule="auto"/>
        <w:ind w:right="-154"/>
        <w:jc w:val="both"/>
        <w:rPr>
          <w:rFonts w:ascii="Palatino Linotype" w:hAnsi="Palatino Linotype"/>
          <w:lang w:val="en-US"/>
        </w:rPr>
      </w:pPr>
      <w:r w:rsidRPr="00026244">
        <w:rPr>
          <w:rFonts w:ascii="Palatino Linotype" w:hAnsi="Palatino Linotype"/>
          <w:lang w:val="en-US"/>
        </w:rPr>
        <w:t xml:space="preserve"> Chairman of Board Members f Board:</w:t>
      </w:r>
    </w:p>
    <w:p w:rsidR="00FB5F40" w:rsidRPr="00026244" w:rsidRDefault="00FB5F40" w:rsidP="006D06A6">
      <w:pPr>
        <w:spacing w:after="0"/>
        <w:ind w:right="-154"/>
        <w:jc w:val="both"/>
        <w:rPr>
          <w:rFonts w:ascii="Palatino Linotype" w:hAnsi="Palatino Linotype"/>
          <w:lang w:val="en-US"/>
        </w:rPr>
      </w:pPr>
      <w:proofErr w:type="spellStart"/>
      <w:r w:rsidRPr="00026244">
        <w:rPr>
          <w:rFonts w:ascii="Palatino Linotype" w:hAnsi="Palatino Linotype"/>
          <w:b/>
          <w:lang w:val="en-US"/>
        </w:rPr>
        <w:t>Ikromov</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Sirojidin</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Salomovich</w:t>
      </w:r>
      <w:proofErr w:type="spellEnd"/>
    </w:p>
    <w:p w:rsidR="00FB5F40" w:rsidRPr="00026244" w:rsidRDefault="00FB5F40" w:rsidP="006D06A6">
      <w:pPr>
        <w:spacing w:after="0"/>
        <w:ind w:right="-154"/>
        <w:jc w:val="both"/>
        <w:rPr>
          <w:rFonts w:ascii="Palatino Linotype" w:hAnsi="Palatino Linotype"/>
          <w:lang w:val="en-US"/>
        </w:rPr>
      </w:pPr>
      <w:r w:rsidRPr="00026244">
        <w:rPr>
          <w:rFonts w:ascii="Palatino Linotype" w:hAnsi="Palatino Linotype"/>
          <w:lang w:val="en-US"/>
        </w:rPr>
        <w:t xml:space="preserve"> Deputy Chairman  </w:t>
      </w:r>
    </w:p>
    <w:p w:rsidR="00FB5F40" w:rsidRPr="00026244" w:rsidRDefault="00FB5F40" w:rsidP="006D06A6">
      <w:pPr>
        <w:spacing w:after="0" w:line="360" w:lineRule="auto"/>
        <w:ind w:right="-154"/>
        <w:jc w:val="both"/>
        <w:rPr>
          <w:rFonts w:ascii="Palatino Linotype" w:hAnsi="Palatino Linotype"/>
          <w:b/>
          <w:lang w:val="en-US"/>
        </w:rPr>
      </w:pPr>
    </w:p>
    <w:p w:rsidR="00FB5F40" w:rsidRPr="00026244" w:rsidRDefault="00FB5F40" w:rsidP="006D06A6">
      <w:pPr>
        <w:spacing w:after="0"/>
        <w:ind w:right="-154"/>
        <w:jc w:val="both"/>
        <w:rPr>
          <w:rFonts w:ascii="Palatino Linotype" w:hAnsi="Palatino Linotype"/>
          <w:lang w:val="en-US"/>
        </w:rPr>
      </w:pPr>
      <w:proofErr w:type="spellStart"/>
      <w:r w:rsidRPr="00026244">
        <w:rPr>
          <w:rFonts w:ascii="Palatino Linotype" w:hAnsi="Palatino Linotype"/>
          <w:b/>
          <w:lang w:val="en-US"/>
        </w:rPr>
        <w:t>Saidov</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Abdumanon</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Bozoralievich</w:t>
      </w:r>
      <w:proofErr w:type="spellEnd"/>
    </w:p>
    <w:p w:rsidR="00FB5F40" w:rsidRPr="00026244" w:rsidRDefault="00FB5F40" w:rsidP="006D06A6">
      <w:pPr>
        <w:spacing w:after="0"/>
        <w:ind w:right="-154"/>
        <w:jc w:val="both"/>
        <w:rPr>
          <w:rFonts w:ascii="Palatino Linotype" w:hAnsi="Palatino Linotype"/>
          <w:lang w:val="en-US"/>
        </w:rPr>
      </w:pPr>
      <w:r w:rsidRPr="00026244">
        <w:rPr>
          <w:rFonts w:ascii="Palatino Linotype" w:hAnsi="Palatino Linotype"/>
          <w:lang w:val="en-US"/>
        </w:rPr>
        <w:t xml:space="preserve"> Deputy Chairman </w:t>
      </w:r>
    </w:p>
    <w:p w:rsidR="00FB5F40" w:rsidRPr="00026244" w:rsidRDefault="00FB5F40" w:rsidP="006D06A6">
      <w:pPr>
        <w:spacing w:after="0"/>
        <w:ind w:right="-154"/>
        <w:jc w:val="both"/>
        <w:rPr>
          <w:rFonts w:ascii="Palatino Linotype" w:hAnsi="Palatino Linotype"/>
          <w:b/>
          <w:lang w:val="en-US"/>
        </w:rPr>
      </w:pPr>
    </w:p>
    <w:p w:rsidR="00FB5F40" w:rsidRPr="00026244" w:rsidRDefault="00FB5F40" w:rsidP="006D06A6">
      <w:pPr>
        <w:spacing w:after="0"/>
        <w:ind w:right="-154"/>
        <w:jc w:val="both"/>
        <w:rPr>
          <w:rFonts w:ascii="Palatino Linotype" w:hAnsi="Palatino Linotype"/>
          <w:b/>
          <w:lang w:val="en-US"/>
        </w:rPr>
      </w:pPr>
      <w:proofErr w:type="spellStart"/>
      <w:r w:rsidRPr="00026244">
        <w:rPr>
          <w:rFonts w:ascii="Palatino Linotype" w:hAnsi="Palatino Linotype"/>
          <w:b/>
          <w:lang w:val="en-US"/>
        </w:rPr>
        <w:t>Kholikov</w:t>
      </w:r>
      <w:proofErr w:type="spellEnd"/>
      <w:r w:rsidR="00513EA6" w:rsidRPr="00026244">
        <w:rPr>
          <w:rFonts w:ascii="Palatino Linotype" w:hAnsi="Palatino Linotype"/>
          <w:b/>
          <w:lang w:val="en-US"/>
        </w:rPr>
        <w:t xml:space="preserve"> </w:t>
      </w:r>
      <w:proofErr w:type="spellStart"/>
      <w:r w:rsidRPr="00026244">
        <w:rPr>
          <w:rFonts w:ascii="Palatino Linotype" w:hAnsi="Palatino Linotype"/>
          <w:b/>
          <w:lang w:val="en-US"/>
        </w:rPr>
        <w:t>Hokimjon</w:t>
      </w:r>
      <w:proofErr w:type="spellEnd"/>
      <w:r w:rsidR="00513EA6" w:rsidRPr="00026244">
        <w:rPr>
          <w:rFonts w:ascii="Palatino Linotype" w:hAnsi="Palatino Linotype"/>
          <w:b/>
          <w:lang w:val="en-US"/>
        </w:rPr>
        <w:t xml:space="preserve"> </w:t>
      </w:r>
      <w:proofErr w:type="spellStart"/>
      <w:r w:rsidRPr="00026244">
        <w:rPr>
          <w:rFonts w:ascii="Palatino Linotype" w:hAnsi="Palatino Linotype"/>
          <w:b/>
          <w:lang w:val="en-US"/>
        </w:rPr>
        <w:t>Hikmatulloevich</w:t>
      </w:r>
      <w:proofErr w:type="spellEnd"/>
    </w:p>
    <w:p w:rsidR="00FB5F40" w:rsidRPr="00026244" w:rsidRDefault="00FB5F40" w:rsidP="006D06A6">
      <w:pPr>
        <w:spacing w:after="0"/>
        <w:ind w:right="-154"/>
        <w:jc w:val="both"/>
        <w:rPr>
          <w:rFonts w:ascii="Palatino Linotype" w:hAnsi="Palatino Linotype"/>
          <w:lang w:val="en-US"/>
        </w:rPr>
      </w:pPr>
      <w:r w:rsidRPr="00026244">
        <w:rPr>
          <w:rFonts w:ascii="Palatino Linotype" w:hAnsi="Palatino Linotype"/>
          <w:lang w:val="en-US"/>
        </w:rPr>
        <w:t xml:space="preserve"> Director of Treasury Department</w:t>
      </w:r>
    </w:p>
    <w:p w:rsidR="00FB5F40" w:rsidRPr="00026244" w:rsidRDefault="00FB5F40" w:rsidP="006D06A6">
      <w:pPr>
        <w:pStyle w:val="2"/>
        <w:spacing w:before="0"/>
        <w:rPr>
          <w:rFonts w:ascii="Palatino Linotype" w:hAnsi="Palatino Linotype"/>
          <w:color w:val="auto"/>
          <w:sz w:val="22"/>
          <w:szCs w:val="22"/>
          <w:lang w:val="en-US"/>
        </w:rPr>
      </w:pPr>
    </w:p>
    <w:p w:rsidR="00FB5F40" w:rsidRPr="00026244" w:rsidRDefault="00FB5F40" w:rsidP="006D06A6">
      <w:pPr>
        <w:pStyle w:val="2"/>
        <w:spacing w:before="0"/>
        <w:rPr>
          <w:rFonts w:ascii="Palatino Linotype" w:hAnsi="Palatino Linotype"/>
          <w:color w:val="auto"/>
          <w:sz w:val="22"/>
          <w:szCs w:val="22"/>
          <w:lang w:val="en-US"/>
        </w:rPr>
      </w:pPr>
      <w:proofErr w:type="spellStart"/>
      <w:r w:rsidRPr="00026244">
        <w:rPr>
          <w:rFonts w:ascii="Palatino Linotype" w:hAnsi="Palatino Linotype"/>
          <w:color w:val="auto"/>
          <w:sz w:val="22"/>
          <w:szCs w:val="22"/>
          <w:lang w:val="en-US"/>
        </w:rPr>
        <w:t>Munieva</w:t>
      </w:r>
      <w:proofErr w:type="spellEnd"/>
      <w:r w:rsidRPr="00026244">
        <w:rPr>
          <w:rFonts w:ascii="Palatino Linotype" w:hAnsi="Palatino Linotype"/>
          <w:color w:val="auto"/>
          <w:sz w:val="22"/>
          <w:szCs w:val="22"/>
          <w:lang w:val="en-US"/>
        </w:rPr>
        <w:t xml:space="preserve"> Svetlana </w:t>
      </w:r>
      <w:proofErr w:type="spellStart"/>
      <w:r w:rsidRPr="00026244">
        <w:rPr>
          <w:rFonts w:ascii="Palatino Linotype" w:hAnsi="Palatino Linotype"/>
          <w:color w:val="auto"/>
          <w:sz w:val="22"/>
          <w:szCs w:val="22"/>
          <w:lang w:val="en-US"/>
        </w:rPr>
        <w:t>Mirzoevna</w:t>
      </w:r>
      <w:proofErr w:type="spellEnd"/>
    </w:p>
    <w:p w:rsidR="00FB5F40" w:rsidRPr="00026244" w:rsidRDefault="00FB5F40" w:rsidP="006D06A6">
      <w:pPr>
        <w:pStyle w:val="2"/>
        <w:spacing w:before="0"/>
        <w:rPr>
          <w:rFonts w:ascii="Palatino Linotype" w:hAnsi="Palatino Linotype"/>
          <w:b w:val="0"/>
          <w:color w:val="auto"/>
          <w:sz w:val="22"/>
          <w:szCs w:val="22"/>
          <w:lang w:val="en-US"/>
        </w:rPr>
      </w:pPr>
      <w:r w:rsidRPr="00026244">
        <w:rPr>
          <w:rFonts w:ascii="Palatino Linotype" w:hAnsi="Palatino Linotype"/>
          <w:b w:val="0"/>
          <w:color w:val="auto"/>
          <w:sz w:val="22"/>
          <w:szCs w:val="22"/>
          <w:lang w:val="en-US"/>
        </w:rPr>
        <w:t xml:space="preserve">Director of Credit Department  </w:t>
      </w:r>
    </w:p>
    <w:p w:rsidR="00FB5F40" w:rsidRPr="00026244" w:rsidRDefault="00FB5F40" w:rsidP="006D06A6">
      <w:pPr>
        <w:spacing w:after="0"/>
        <w:ind w:right="-154"/>
        <w:jc w:val="both"/>
        <w:rPr>
          <w:rFonts w:ascii="Palatino Linotype" w:hAnsi="Palatino Linotype"/>
          <w:b/>
          <w:lang w:val="en-US"/>
        </w:rPr>
      </w:pPr>
    </w:p>
    <w:p w:rsidR="00FB5F40" w:rsidRPr="00026244" w:rsidRDefault="00FB5F40" w:rsidP="006D06A6">
      <w:pPr>
        <w:spacing w:after="0"/>
        <w:ind w:right="-154"/>
        <w:jc w:val="both"/>
        <w:rPr>
          <w:rFonts w:ascii="Palatino Linotype" w:hAnsi="Palatino Linotype"/>
          <w:b/>
          <w:lang w:val="en-US"/>
        </w:rPr>
      </w:pPr>
      <w:proofErr w:type="spellStart"/>
      <w:r w:rsidRPr="00026244">
        <w:rPr>
          <w:rFonts w:ascii="Palatino Linotype" w:hAnsi="Palatino Linotype"/>
          <w:b/>
          <w:lang w:val="en-US"/>
        </w:rPr>
        <w:t>Maksudova</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Munira</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Nazrievna</w:t>
      </w:r>
      <w:proofErr w:type="spellEnd"/>
    </w:p>
    <w:p w:rsidR="00FB5F40" w:rsidRPr="00026244" w:rsidRDefault="00FB5F40" w:rsidP="006D06A6">
      <w:pPr>
        <w:spacing w:after="0"/>
        <w:ind w:right="-154"/>
        <w:jc w:val="both"/>
        <w:rPr>
          <w:rFonts w:ascii="Palatino Linotype" w:hAnsi="Palatino Linotype"/>
          <w:lang w:val="en-US"/>
        </w:rPr>
      </w:pPr>
      <w:r w:rsidRPr="00026244">
        <w:rPr>
          <w:rFonts w:ascii="Palatino Linotype" w:hAnsi="Palatino Linotype"/>
          <w:lang w:val="en-US"/>
        </w:rPr>
        <w:t>Deputy Head of</w:t>
      </w:r>
      <w:r w:rsidR="00013302" w:rsidRPr="00026244">
        <w:rPr>
          <w:rFonts w:ascii="Palatino Linotype" w:hAnsi="Palatino Linotype"/>
          <w:lang w:val="en-US"/>
        </w:rPr>
        <w:t xml:space="preserve"> </w:t>
      </w:r>
      <w:r w:rsidRPr="00026244">
        <w:rPr>
          <w:rFonts w:ascii="Palatino Linotype" w:hAnsi="Palatino Linotype"/>
          <w:lang w:val="en-US"/>
        </w:rPr>
        <w:t xml:space="preserve">branch №07 in </w:t>
      </w:r>
      <w:proofErr w:type="spellStart"/>
      <w:r w:rsidRPr="00026244">
        <w:rPr>
          <w:rFonts w:ascii="Palatino Linotype" w:hAnsi="Palatino Linotype"/>
          <w:lang w:val="en-US"/>
        </w:rPr>
        <w:t>Shohmansur</w:t>
      </w:r>
      <w:proofErr w:type="spellEnd"/>
      <w:r w:rsidRPr="00026244">
        <w:rPr>
          <w:rFonts w:ascii="Palatino Linotype" w:hAnsi="Palatino Linotype"/>
          <w:lang w:val="en-US"/>
        </w:rPr>
        <w:t xml:space="preserve"> district of Dushanbe</w:t>
      </w:r>
    </w:p>
    <w:p w:rsidR="00FB5F40" w:rsidRPr="00026244" w:rsidRDefault="00FB5F40" w:rsidP="006D06A6">
      <w:pPr>
        <w:spacing w:after="0"/>
        <w:ind w:right="-154"/>
        <w:jc w:val="both"/>
        <w:rPr>
          <w:rFonts w:ascii="Palatino Linotype" w:hAnsi="Palatino Linotype"/>
          <w:b/>
          <w:lang w:val="en-US"/>
        </w:rPr>
      </w:pPr>
    </w:p>
    <w:p w:rsidR="00FB5F40" w:rsidRPr="00026244" w:rsidRDefault="00FB5F40" w:rsidP="006D06A6">
      <w:pPr>
        <w:spacing w:after="0"/>
        <w:ind w:right="-154"/>
        <w:jc w:val="both"/>
        <w:rPr>
          <w:rFonts w:ascii="Palatino Linotype" w:hAnsi="Palatino Linotype"/>
          <w:lang w:val="en-US"/>
        </w:rPr>
      </w:pPr>
      <w:proofErr w:type="spellStart"/>
      <w:r w:rsidRPr="00026244">
        <w:rPr>
          <w:rFonts w:ascii="Palatino Linotype" w:hAnsi="Palatino Linotype"/>
          <w:b/>
          <w:lang w:val="en-US"/>
        </w:rPr>
        <w:t>Rajabov</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Rajabali</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Saifiddinovich</w:t>
      </w:r>
      <w:proofErr w:type="spellEnd"/>
    </w:p>
    <w:p w:rsidR="00FB5F40" w:rsidRPr="00026244" w:rsidRDefault="00FB5F40" w:rsidP="006D06A6">
      <w:pPr>
        <w:spacing w:after="0"/>
        <w:ind w:right="-154"/>
        <w:jc w:val="both"/>
        <w:rPr>
          <w:rFonts w:ascii="Palatino Linotype" w:hAnsi="Palatino Linotype"/>
          <w:lang w:val="en-US"/>
        </w:rPr>
      </w:pPr>
      <w:r w:rsidRPr="00026244">
        <w:rPr>
          <w:rFonts w:ascii="Palatino Linotype" w:hAnsi="Palatino Linotype"/>
          <w:lang w:val="en-US"/>
        </w:rPr>
        <w:t xml:space="preserve"> Deputy Minister of Finance of the Republic of Tajikistan</w:t>
      </w:r>
    </w:p>
    <w:p w:rsidR="00FB5F40" w:rsidRPr="00026244" w:rsidRDefault="00FB5F40" w:rsidP="006D06A6">
      <w:pPr>
        <w:spacing w:after="0" w:line="360" w:lineRule="auto"/>
        <w:ind w:right="-154"/>
        <w:jc w:val="both"/>
        <w:rPr>
          <w:rFonts w:ascii="Palatino Linotype" w:hAnsi="Palatino Linotype"/>
          <w:b/>
          <w:lang w:val="en-US"/>
        </w:rPr>
      </w:pPr>
    </w:p>
    <w:p w:rsidR="00FB5F40" w:rsidRPr="00026244" w:rsidRDefault="00FB5F40" w:rsidP="006D06A6">
      <w:pPr>
        <w:spacing w:after="0" w:line="360" w:lineRule="auto"/>
        <w:ind w:right="-154"/>
        <w:jc w:val="both"/>
        <w:rPr>
          <w:rFonts w:ascii="Palatino Linotype" w:hAnsi="Palatino Linotype"/>
          <w:b/>
          <w:lang w:val="en-US"/>
        </w:rPr>
      </w:pPr>
      <w:proofErr w:type="spellStart"/>
      <w:r w:rsidRPr="00026244">
        <w:rPr>
          <w:rFonts w:ascii="Palatino Linotype" w:hAnsi="Palatino Linotype"/>
          <w:b/>
          <w:lang w:val="en-US"/>
        </w:rPr>
        <w:t>Abibulloev</w:t>
      </w:r>
      <w:proofErr w:type="spellEnd"/>
      <w:r w:rsidR="003B12EC" w:rsidRPr="00026244">
        <w:rPr>
          <w:rFonts w:ascii="Palatino Linotype" w:hAnsi="Palatino Linotype"/>
          <w:b/>
          <w:lang w:val="en-US"/>
        </w:rPr>
        <w:t xml:space="preserve"> </w:t>
      </w:r>
      <w:proofErr w:type="spellStart"/>
      <w:r w:rsidRPr="00026244">
        <w:rPr>
          <w:rFonts w:ascii="Palatino Linotype" w:hAnsi="Palatino Linotype"/>
          <w:b/>
          <w:lang w:val="en-US"/>
        </w:rPr>
        <w:t>Narzullo</w:t>
      </w:r>
      <w:proofErr w:type="spellEnd"/>
    </w:p>
    <w:p w:rsidR="005E38B4" w:rsidRPr="00026244" w:rsidRDefault="00FB5F40" w:rsidP="005E38B4">
      <w:pPr>
        <w:spacing w:after="0"/>
        <w:ind w:left="142" w:right="-154"/>
        <w:jc w:val="both"/>
        <w:rPr>
          <w:rFonts w:ascii="Palatino Linotype" w:hAnsi="Palatino Linotype"/>
          <w:lang w:val="en-US"/>
        </w:rPr>
      </w:pPr>
      <w:r w:rsidRPr="00026244">
        <w:rPr>
          <w:rFonts w:ascii="Palatino Linotype" w:hAnsi="Palatino Linotype"/>
          <w:lang w:val="en-US"/>
        </w:rPr>
        <w:t xml:space="preserve">Head of State Budget Department of Ministry of   Finance </w:t>
      </w:r>
      <w:r w:rsidR="005E38B4" w:rsidRPr="00026244">
        <w:rPr>
          <w:rFonts w:ascii="Palatino Linotype" w:hAnsi="Palatino Linotype"/>
          <w:lang w:val="en-US"/>
        </w:rPr>
        <w:t>of the Republic of Tajikistan</w:t>
      </w:r>
    </w:p>
    <w:p w:rsidR="00FB5F40" w:rsidRPr="00026244" w:rsidRDefault="00FB5F40" w:rsidP="006D06A6">
      <w:pPr>
        <w:pStyle w:val="a9"/>
        <w:rPr>
          <w:rFonts w:ascii="Palatino Linotype" w:hAnsi="Palatino Linotype"/>
          <w:sz w:val="22"/>
          <w:szCs w:val="22"/>
          <w:lang w:val="en-US"/>
        </w:rPr>
        <w:sectPr w:rsidR="00FB5F40" w:rsidRPr="00026244" w:rsidSect="00CA692B">
          <w:type w:val="continuous"/>
          <w:pgSz w:w="11906" w:h="16838"/>
          <w:pgMar w:top="1134" w:right="850" w:bottom="1134" w:left="1134" w:header="708" w:footer="708" w:gutter="0"/>
          <w:cols w:num="2" w:space="568"/>
          <w:docGrid w:linePitch="360"/>
        </w:sectPr>
      </w:pPr>
    </w:p>
    <w:p w:rsidR="00FB5F40" w:rsidRPr="00026244" w:rsidRDefault="00FB5F40" w:rsidP="00006A40">
      <w:pPr>
        <w:pStyle w:val="a5"/>
        <w:rPr>
          <w:rFonts w:ascii="Palatino Linotype" w:hAnsi="Palatino Linotype"/>
          <w:lang w:val="en-US"/>
        </w:rPr>
      </w:pPr>
    </w:p>
    <w:p w:rsidR="00FB5F40" w:rsidRPr="00026244" w:rsidRDefault="00FB5F40" w:rsidP="00CF1EDA">
      <w:pPr>
        <w:pStyle w:val="a5"/>
        <w:rPr>
          <w:rFonts w:ascii="Palatino Linotype" w:hAnsi="Palatino Linotype"/>
          <w:lang w:val="en-US"/>
        </w:rPr>
      </w:pPr>
    </w:p>
    <w:p w:rsidR="00FB5F40" w:rsidRPr="00026244" w:rsidRDefault="00FB5F40" w:rsidP="00CF1EDA">
      <w:pPr>
        <w:pStyle w:val="a5"/>
        <w:rPr>
          <w:rFonts w:ascii="Palatino Linotype" w:hAnsi="Palatino Linotype"/>
          <w:lang w:val="en-US"/>
        </w:rPr>
      </w:pPr>
    </w:p>
    <w:p w:rsidR="00FB5F40" w:rsidRPr="00026244" w:rsidRDefault="00FB5F40" w:rsidP="00766A11">
      <w:pPr>
        <w:spacing w:after="0"/>
        <w:rPr>
          <w:rFonts w:ascii="Palatino Linotype" w:hAnsi="Palatino Linotype"/>
          <w:sz w:val="28"/>
          <w:szCs w:val="28"/>
          <w:lang w:val="en-US"/>
        </w:rPr>
      </w:pPr>
      <w:r w:rsidRPr="00026244">
        <w:rPr>
          <w:rFonts w:ascii="Palatino Linotype" w:hAnsi="Palatino Linotype"/>
          <w:sz w:val="28"/>
          <w:szCs w:val="28"/>
        </w:rPr>
        <w:t>ДИНАМИКА</w:t>
      </w:r>
      <w:r w:rsidR="00766A11" w:rsidRPr="00026244">
        <w:rPr>
          <w:rFonts w:ascii="Palatino Linotype" w:hAnsi="Palatino Linotype"/>
          <w:sz w:val="28"/>
          <w:szCs w:val="28"/>
          <w:lang w:val="en-US"/>
        </w:rPr>
        <w:t xml:space="preserve"> </w:t>
      </w:r>
      <w:r w:rsidRPr="00026244">
        <w:rPr>
          <w:rFonts w:ascii="Palatino Linotype" w:hAnsi="Palatino Linotype"/>
          <w:sz w:val="28"/>
          <w:szCs w:val="28"/>
        </w:rPr>
        <w:t>РАЗВИТИЯ</w:t>
      </w:r>
      <w:r w:rsidR="00766A11" w:rsidRPr="00026244">
        <w:rPr>
          <w:rFonts w:ascii="Palatino Linotype" w:hAnsi="Palatino Linotype"/>
          <w:sz w:val="28"/>
          <w:szCs w:val="28"/>
          <w:lang w:val="en-US"/>
        </w:rPr>
        <w:t xml:space="preserve"> </w:t>
      </w:r>
      <w:r w:rsidRPr="00026244">
        <w:rPr>
          <w:rFonts w:ascii="Palatino Linotype" w:hAnsi="Palatino Linotype"/>
          <w:sz w:val="28"/>
          <w:szCs w:val="28"/>
        </w:rPr>
        <w:t>БАНКА</w:t>
      </w:r>
    </w:p>
    <w:p w:rsidR="00FB5F40" w:rsidRPr="00026244" w:rsidRDefault="00FB5F40" w:rsidP="00766A11">
      <w:pPr>
        <w:spacing w:after="0"/>
        <w:rPr>
          <w:rFonts w:ascii="Palatino Linotype" w:hAnsi="Palatino Linotype"/>
          <w:color w:val="8064A2"/>
          <w:sz w:val="28"/>
          <w:szCs w:val="28"/>
          <w:lang w:val="en-US"/>
        </w:rPr>
      </w:pPr>
      <w:r w:rsidRPr="00026244">
        <w:rPr>
          <w:rFonts w:ascii="Palatino Linotype" w:hAnsi="Palatino Linotype"/>
          <w:color w:val="8064A2"/>
          <w:sz w:val="28"/>
          <w:szCs w:val="28"/>
          <w:lang w:val="en-US"/>
        </w:rPr>
        <w:t>BANK DEVELOPMENT DYNAMICS</w:t>
      </w:r>
    </w:p>
    <w:p w:rsidR="00FB5F40" w:rsidRPr="00026244" w:rsidRDefault="00FB5F40" w:rsidP="006D06A6">
      <w:pPr>
        <w:spacing w:after="0"/>
        <w:jc w:val="both"/>
        <w:rPr>
          <w:rFonts w:ascii="Palatino Linotype" w:hAnsi="Palatino Linotype"/>
          <w:b/>
          <w:lang w:val="en-US"/>
        </w:rPr>
        <w:sectPr w:rsidR="00FB5F40" w:rsidRPr="00026244" w:rsidSect="006D06A6">
          <w:type w:val="continuous"/>
          <w:pgSz w:w="11906" w:h="16838"/>
          <w:pgMar w:top="1134" w:right="850" w:bottom="1134" w:left="1701" w:header="708" w:footer="708" w:gutter="0"/>
          <w:cols w:space="708"/>
          <w:docGrid w:linePitch="360"/>
        </w:sectPr>
      </w:pPr>
    </w:p>
    <w:p w:rsidR="00FB5F40" w:rsidRPr="00026244" w:rsidRDefault="00FB5F40" w:rsidP="00B10CF2">
      <w:pPr>
        <w:spacing w:after="0"/>
        <w:jc w:val="both"/>
        <w:rPr>
          <w:rFonts w:ascii="Palatino Linotype" w:hAnsi="Palatino Linotype"/>
          <w:b/>
          <w:sz w:val="28"/>
          <w:szCs w:val="28"/>
          <w:lang w:val="en-US"/>
        </w:rPr>
      </w:pPr>
      <w:r w:rsidRPr="00026244">
        <w:rPr>
          <w:rFonts w:ascii="Palatino Linotype" w:hAnsi="Palatino Linotype"/>
          <w:b/>
          <w:sz w:val="28"/>
          <w:szCs w:val="28"/>
        </w:rPr>
        <w:lastRenderedPageBreak/>
        <w:t>Активы</w:t>
      </w:r>
    </w:p>
    <w:p w:rsidR="00FB5F40" w:rsidRPr="00026244" w:rsidRDefault="00FB5F40" w:rsidP="006D06A6">
      <w:pPr>
        <w:spacing w:after="0"/>
        <w:ind w:left="142" w:hanging="720"/>
        <w:jc w:val="both"/>
        <w:rPr>
          <w:rFonts w:ascii="Palatino Linotype" w:hAnsi="Palatino Linotype"/>
          <w:b/>
          <w:lang w:val="en-US"/>
        </w:rPr>
      </w:pPr>
    </w:p>
    <w:p w:rsidR="00FB5F40" w:rsidRPr="00026244" w:rsidRDefault="000A29D5" w:rsidP="00B10CF2">
      <w:pPr>
        <w:tabs>
          <w:tab w:val="num" w:pos="284"/>
        </w:tabs>
        <w:jc w:val="both"/>
        <w:rPr>
          <w:rFonts w:ascii="Palatino Linotype" w:hAnsi="Palatino Linotype"/>
        </w:rPr>
      </w:pPr>
      <w:r w:rsidRPr="00026244">
        <w:rPr>
          <w:noProof/>
          <w:lang w:eastAsia="ru-RU"/>
        </w:rPr>
        <w:drawing>
          <wp:anchor distT="0" distB="8763" distL="114300" distR="114300" simplePos="0" relativeHeight="251648512" behindDoc="0" locked="0" layoutInCell="1" allowOverlap="1" wp14:anchorId="3ED3C26E" wp14:editId="5CD6BE7D">
            <wp:simplePos x="0" y="0"/>
            <wp:positionH relativeFrom="column">
              <wp:posOffset>545465</wp:posOffset>
            </wp:positionH>
            <wp:positionV relativeFrom="paragraph">
              <wp:posOffset>847725</wp:posOffset>
            </wp:positionV>
            <wp:extent cx="5151755" cy="3375660"/>
            <wp:effectExtent l="0" t="0" r="0" b="0"/>
            <wp:wrapNone/>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FB5F40" w:rsidRPr="00026244">
        <w:rPr>
          <w:rFonts w:ascii="Palatino Linotype" w:hAnsi="Palatino Linotype"/>
        </w:rPr>
        <w:t>В 2011 году активы Амонатбанка выросли на 17,9%, что в значительной степени произошло благодаря росту объемов привлеченных депозитов клиентов.</w:t>
      </w:r>
    </w:p>
    <w:p w:rsidR="00FB5F40" w:rsidRPr="00026244" w:rsidRDefault="00FB5F40" w:rsidP="006D06A6">
      <w:pPr>
        <w:tabs>
          <w:tab w:val="num" w:pos="284"/>
        </w:tabs>
        <w:ind w:left="284" w:hanging="284"/>
        <w:rPr>
          <w:rFonts w:ascii="Palatino Linotype" w:hAnsi="Palatino Linotype"/>
        </w:rPr>
      </w:pPr>
    </w:p>
    <w:p w:rsidR="00FB5F40" w:rsidRPr="00026244" w:rsidRDefault="00FB5F40" w:rsidP="006D06A6">
      <w:pPr>
        <w:tabs>
          <w:tab w:val="num" w:pos="284"/>
        </w:tabs>
        <w:ind w:left="284" w:hanging="284"/>
        <w:rPr>
          <w:rFonts w:ascii="Palatino Linotype" w:hAnsi="Palatino Linotype"/>
        </w:rPr>
      </w:pPr>
    </w:p>
    <w:p w:rsidR="00FB5F40" w:rsidRPr="00026244" w:rsidRDefault="00FB5F40" w:rsidP="006D06A6">
      <w:pPr>
        <w:tabs>
          <w:tab w:val="num" w:pos="284"/>
        </w:tabs>
        <w:ind w:left="284" w:hanging="284"/>
        <w:rPr>
          <w:rFonts w:ascii="Palatino Linotype" w:hAnsi="Palatino Linotype"/>
        </w:rPr>
      </w:pPr>
    </w:p>
    <w:p w:rsidR="00FB5F40" w:rsidRPr="00026244" w:rsidRDefault="00FB5F40" w:rsidP="006D06A6">
      <w:pPr>
        <w:tabs>
          <w:tab w:val="num" w:pos="284"/>
        </w:tabs>
        <w:ind w:left="284" w:hanging="284"/>
        <w:rPr>
          <w:rFonts w:ascii="Palatino Linotype" w:hAnsi="Palatino Linotype"/>
        </w:rPr>
      </w:pPr>
    </w:p>
    <w:p w:rsidR="00FB5F40" w:rsidRPr="00026244" w:rsidRDefault="00FB5F40" w:rsidP="006D06A6">
      <w:pPr>
        <w:tabs>
          <w:tab w:val="num" w:pos="284"/>
        </w:tabs>
        <w:ind w:left="284" w:hanging="284"/>
        <w:rPr>
          <w:rFonts w:ascii="Palatino Linotype" w:hAnsi="Palatino Linotype"/>
        </w:rPr>
      </w:pPr>
    </w:p>
    <w:p w:rsidR="00FB5F40" w:rsidRPr="00026244" w:rsidRDefault="00FB5F40" w:rsidP="006D06A6">
      <w:pPr>
        <w:tabs>
          <w:tab w:val="num" w:pos="284"/>
        </w:tabs>
        <w:ind w:left="284" w:hanging="284"/>
        <w:rPr>
          <w:rFonts w:ascii="Palatino Linotype" w:hAnsi="Palatino Linotype"/>
        </w:rPr>
      </w:pPr>
    </w:p>
    <w:p w:rsidR="00FB5F40" w:rsidRPr="00026244" w:rsidRDefault="00FB5F40" w:rsidP="006D06A6">
      <w:pPr>
        <w:tabs>
          <w:tab w:val="num" w:pos="284"/>
        </w:tabs>
        <w:ind w:left="284" w:hanging="284"/>
        <w:rPr>
          <w:rFonts w:ascii="Palatino Linotype" w:hAnsi="Palatino Linotype"/>
        </w:rPr>
      </w:pPr>
    </w:p>
    <w:p w:rsidR="00FB5F40" w:rsidRPr="00026244" w:rsidRDefault="00FB5F40" w:rsidP="008A7121">
      <w:pPr>
        <w:spacing w:after="0"/>
        <w:jc w:val="both"/>
        <w:rPr>
          <w:rFonts w:ascii="Palatino Linotype" w:hAnsi="Palatino Linotype"/>
        </w:rPr>
      </w:pPr>
    </w:p>
    <w:p w:rsidR="00FB5F40" w:rsidRPr="00026244" w:rsidRDefault="00FB5F40" w:rsidP="008A7121">
      <w:pPr>
        <w:spacing w:after="0"/>
        <w:jc w:val="both"/>
        <w:rPr>
          <w:rFonts w:ascii="Palatino Linotype" w:hAnsi="Palatino Linotype"/>
        </w:rPr>
      </w:pPr>
    </w:p>
    <w:p w:rsidR="00FB5F40" w:rsidRPr="00026244" w:rsidRDefault="00FB5F40" w:rsidP="008A7121">
      <w:pPr>
        <w:spacing w:after="0"/>
        <w:jc w:val="both"/>
        <w:rPr>
          <w:rFonts w:ascii="Palatino Linotype" w:hAnsi="Palatino Linotype"/>
        </w:rPr>
      </w:pPr>
    </w:p>
    <w:p w:rsidR="00FB5F40" w:rsidRPr="00026244" w:rsidRDefault="00FB5F40" w:rsidP="008A7121">
      <w:pPr>
        <w:spacing w:after="0"/>
        <w:jc w:val="both"/>
        <w:rPr>
          <w:rFonts w:ascii="Palatino Linotype" w:hAnsi="Palatino Linotype"/>
        </w:rPr>
      </w:pPr>
    </w:p>
    <w:p w:rsidR="00FB5F40" w:rsidRPr="00026244" w:rsidRDefault="00FB5F40" w:rsidP="008A7121">
      <w:pPr>
        <w:spacing w:after="0"/>
        <w:jc w:val="both"/>
        <w:rPr>
          <w:rFonts w:ascii="Palatino Linotype" w:hAnsi="Palatino Linotype"/>
        </w:rPr>
      </w:pPr>
      <w:r w:rsidRPr="00026244">
        <w:rPr>
          <w:rFonts w:ascii="Palatino Linotype" w:hAnsi="Palatino Linotype"/>
        </w:rPr>
        <w:t xml:space="preserve">    Объем кредитного портфеля до вычета резервов на 31 декабря  2011 года составил 285,3 млн. </w:t>
      </w:r>
      <w:proofErr w:type="spellStart"/>
      <w:r w:rsidRPr="00026244">
        <w:rPr>
          <w:rFonts w:ascii="Palatino Linotype" w:hAnsi="Palatino Linotype"/>
        </w:rPr>
        <w:t>сомони</w:t>
      </w:r>
      <w:proofErr w:type="spellEnd"/>
      <w:r w:rsidRPr="00026244">
        <w:rPr>
          <w:rFonts w:ascii="Palatino Linotype" w:hAnsi="Palatino Linotype"/>
        </w:rPr>
        <w:t>, что на 26,8% выше  прошлогоднего уровня.</w:t>
      </w:r>
    </w:p>
    <w:p w:rsidR="00FB5F40" w:rsidRPr="00026244" w:rsidRDefault="00FB5F40" w:rsidP="008A7121">
      <w:pPr>
        <w:spacing w:after="0"/>
        <w:jc w:val="both"/>
        <w:rPr>
          <w:rFonts w:ascii="Palatino Linotype" w:hAnsi="Palatino Linotype"/>
        </w:rPr>
      </w:pPr>
      <w:r w:rsidRPr="00026244">
        <w:rPr>
          <w:rFonts w:ascii="Palatino Linotype" w:hAnsi="Palatino Linotype"/>
        </w:rPr>
        <w:t xml:space="preserve">    Банк является активным участником рынка межбанковского  кредитования,  обусловленной его высокой ликвидностью.</w:t>
      </w:r>
    </w:p>
    <w:p w:rsidR="00FB5F40" w:rsidRPr="00026244" w:rsidRDefault="00FB5F40" w:rsidP="002D6AB7">
      <w:pPr>
        <w:tabs>
          <w:tab w:val="num" w:pos="284"/>
        </w:tabs>
        <w:ind w:hanging="284"/>
        <w:jc w:val="both"/>
        <w:rPr>
          <w:rFonts w:ascii="Palatino Linotype" w:hAnsi="Palatino Linotype"/>
        </w:rPr>
      </w:pPr>
      <w:r w:rsidRPr="00026244">
        <w:rPr>
          <w:rFonts w:ascii="Palatino Linotype" w:hAnsi="Palatino Linotype"/>
        </w:rPr>
        <w:t xml:space="preserve">Остаток межбанковских кредитов на конец отчетного года  достиг 234,9 млн. </w:t>
      </w:r>
      <w:proofErr w:type="spellStart"/>
      <w:r w:rsidRPr="00026244">
        <w:rPr>
          <w:rFonts w:ascii="Palatino Linotype" w:hAnsi="Palatino Linotype"/>
        </w:rPr>
        <w:t>сомони</w:t>
      </w:r>
      <w:proofErr w:type="spellEnd"/>
      <w:r w:rsidRPr="00026244">
        <w:rPr>
          <w:rFonts w:ascii="Palatino Linotype" w:hAnsi="Palatino Linotype"/>
        </w:rPr>
        <w:t xml:space="preserve"> против 92,5 млн. </w:t>
      </w:r>
      <w:proofErr w:type="spellStart"/>
      <w:r w:rsidRPr="00026244">
        <w:rPr>
          <w:rFonts w:ascii="Palatino Linotype" w:hAnsi="Palatino Linotype"/>
        </w:rPr>
        <w:t>сомони</w:t>
      </w:r>
      <w:proofErr w:type="spellEnd"/>
      <w:r w:rsidRPr="00026244">
        <w:rPr>
          <w:rFonts w:ascii="Palatino Linotype" w:hAnsi="Palatino Linotype"/>
        </w:rPr>
        <w:t xml:space="preserve"> на соответствующий период 2010 года, или рост составляет  более чем в 2,5 раза.</w:t>
      </w:r>
    </w:p>
    <w:p w:rsidR="00FB5F40" w:rsidRPr="00026244" w:rsidRDefault="00FB5F40" w:rsidP="002D6AB7">
      <w:pPr>
        <w:tabs>
          <w:tab w:val="num" w:pos="284"/>
        </w:tabs>
        <w:ind w:hanging="284"/>
        <w:jc w:val="both"/>
        <w:rPr>
          <w:rFonts w:ascii="Palatino Linotype" w:hAnsi="Palatino Linotype"/>
        </w:rPr>
      </w:pPr>
    </w:p>
    <w:p w:rsidR="00FB5F40" w:rsidRPr="00026244" w:rsidRDefault="00FB5F40" w:rsidP="002D6AB7">
      <w:pPr>
        <w:tabs>
          <w:tab w:val="num" w:pos="284"/>
        </w:tabs>
        <w:ind w:hanging="284"/>
        <w:jc w:val="both"/>
        <w:rPr>
          <w:rFonts w:ascii="Palatino Linotype" w:hAnsi="Palatino Linotype"/>
        </w:rPr>
      </w:pPr>
    </w:p>
    <w:p w:rsidR="00FB5F40" w:rsidRPr="00026244" w:rsidRDefault="00FB5F40" w:rsidP="00B10CF2">
      <w:pPr>
        <w:spacing w:after="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lastRenderedPageBreak/>
        <w:t xml:space="preserve">Assets </w:t>
      </w:r>
    </w:p>
    <w:p w:rsidR="00FB5F40" w:rsidRPr="00026244" w:rsidRDefault="00FB5F40" w:rsidP="006D06A6">
      <w:pPr>
        <w:spacing w:after="0"/>
        <w:jc w:val="both"/>
        <w:rPr>
          <w:rFonts w:ascii="Palatino Linotype" w:hAnsi="Palatino Linotype"/>
          <w:b/>
          <w:lang w:val="en-US"/>
        </w:rPr>
      </w:pPr>
    </w:p>
    <w:p w:rsidR="00FB5F40" w:rsidRPr="00026244" w:rsidRDefault="00FB5F40" w:rsidP="006D06A6">
      <w:pPr>
        <w:spacing w:after="0"/>
        <w:jc w:val="both"/>
        <w:rPr>
          <w:rFonts w:ascii="Palatino Linotype" w:hAnsi="Palatino Linotype"/>
          <w:lang w:val="en-US"/>
        </w:rPr>
      </w:pPr>
      <w:r w:rsidRPr="00026244">
        <w:rPr>
          <w:rFonts w:ascii="Palatino Linotype" w:hAnsi="Palatino Linotype"/>
          <w:lang w:val="en-US"/>
        </w:rPr>
        <w:t xml:space="preserve">      In 2011 the assets of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increased by 17</w:t>
      </w:r>
      <w:proofErr w:type="gramStart"/>
      <w:r w:rsidRPr="00026244">
        <w:rPr>
          <w:rFonts w:ascii="Palatino Linotype" w:hAnsi="Palatino Linotype"/>
          <w:lang w:val="en-US"/>
        </w:rPr>
        <w:t>,9</w:t>
      </w:r>
      <w:proofErr w:type="gramEnd"/>
      <w:r w:rsidRPr="00026244">
        <w:rPr>
          <w:rFonts w:ascii="Palatino Linotype" w:hAnsi="Palatino Linotype"/>
          <w:lang w:val="en-US"/>
        </w:rPr>
        <w:t xml:space="preserve">% and it became possible mainly due to increase in the volume of attracted clients’ deposits. </w:t>
      </w: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FB5F40" w:rsidRPr="00026244" w:rsidRDefault="00FB5F40" w:rsidP="006D06A6">
      <w:pPr>
        <w:spacing w:after="0"/>
        <w:jc w:val="both"/>
        <w:rPr>
          <w:rFonts w:ascii="Palatino Linotype" w:hAnsi="Palatino Linotype"/>
          <w:lang w:val="en-US"/>
        </w:rPr>
      </w:pPr>
    </w:p>
    <w:p w:rsidR="00766A11" w:rsidRPr="00026244" w:rsidRDefault="00766A11" w:rsidP="003B12EC">
      <w:pPr>
        <w:spacing w:after="0" w:line="324" w:lineRule="auto"/>
        <w:jc w:val="both"/>
        <w:rPr>
          <w:rFonts w:ascii="Palatino Linotype" w:hAnsi="Palatino Linotype"/>
          <w:sz w:val="16"/>
          <w:szCs w:val="16"/>
          <w:lang w:val="en-US"/>
        </w:rPr>
      </w:pPr>
    </w:p>
    <w:p w:rsidR="00FB5F40" w:rsidRPr="00026244" w:rsidRDefault="00FB5F40" w:rsidP="003B12EC">
      <w:pPr>
        <w:spacing w:after="0" w:line="324" w:lineRule="auto"/>
        <w:jc w:val="both"/>
        <w:rPr>
          <w:rFonts w:ascii="Palatino Linotype" w:hAnsi="Palatino Linotype"/>
          <w:lang w:val="en-US"/>
        </w:rPr>
      </w:pPr>
      <w:r w:rsidRPr="00026244">
        <w:rPr>
          <w:rFonts w:ascii="Palatino Linotype" w:hAnsi="Palatino Linotype"/>
          <w:lang w:val="en-US"/>
        </w:rPr>
        <w:t>The volume of the credit portfolio prior to deduction of reserves as of December 31, 2011 was 285</w:t>
      </w:r>
      <w:proofErr w:type="gramStart"/>
      <w:r w:rsidRPr="00026244">
        <w:rPr>
          <w:rFonts w:ascii="Palatino Linotype" w:hAnsi="Palatino Linotype"/>
          <w:lang w:val="en-US"/>
        </w:rPr>
        <w:t>,3</w:t>
      </w:r>
      <w:proofErr w:type="gramEnd"/>
      <w:r w:rsidRPr="00026244">
        <w:rPr>
          <w:rFonts w:ascii="Palatino Linotype" w:hAnsi="Palatino Linotype"/>
          <w:lang w:val="en-US"/>
        </w:rPr>
        <w:t xml:space="preserve"> million TJS which is 26,8% higher than past year level.</w:t>
      </w:r>
    </w:p>
    <w:p w:rsidR="00FB5F40" w:rsidRPr="00026244" w:rsidRDefault="00FB5F40" w:rsidP="003B12EC">
      <w:pPr>
        <w:spacing w:after="0" w:line="324" w:lineRule="auto"/>
        <w:jc w:val="both"/>
        <w:rPr>
          <w:rFonts w:ascii="Palatino Linotype" w:hAnsi="Palatino Linotype"/>
          <w:lang w:val="en-US"/>
        </w:rPr>
      </w:pPr>
      <w:proofErr w:type="spellStart"/>
      <w:r w:rsidRPr="00026244">
        <w:rPr>
          <w:rFonts w:ascii="Palatino Linotype" w:hAnsi="Palatino Linotype"/>
          <w:lang w:val="en-US"/>
        </w:rPr>
        <w:t>Amonatbank</w:t>
      </w:r>
      <w:proofErr w:type="spellEnd"/>
      <w:r w:rsidRPr="00026244">
        <w:rPr>
          <w:rFonts w:ascii="Palatino Linotype" w:hAnsi="Palatino Linotype"/>
          <w:lang w:val="en-US"/>
        </w:rPr>
        <w:t xml:space="preserve"> takes an active part in the market of inter-bank crediting due to its high liquidity.</w:t>
      </w:r>
    </w:p>
    <w:p w:rsidR="00FB5F40" w:rsidRPr="00026244" w:rsidRDefault="00FB5F40" w:rsidP="003B12EC">
      <w:pPr>
        <w:spacing w:after="0" w:line="324" w:lineRule="auto"/>
        <w:jc w:val="both"/>
        <w:rPr>
          <w:rFonts w:ascii="Palatino Linotype" w:hAnsi="Palatino Linotype"/>
          <w:lang w:val="en-US"/>
        </w:rPr>
      </w:pPr>
      <w:r w:rsidRPr="00026244">
        <w:rPr>
          <w:rFonts w:ascii="Palatino Linotype" w:hAnsi="Palatino Linotype"/>
          <w:lang w:val="en-US"/>
        </w:rPr>
        <w:t xml:space="preserve">The remainder of inter – bank crediting at the end of the reporting year amounted to 234,9 </w:t>
      </w:r>
      <w:proofErr w:type="spellStart"/>
      <w:r w:rsidRPr="00026244">
        <w:rPr>
          <w:rFonts w:ascii="Palatino Linotype" w:hAnsi="Palatino Linotype"/>
          <w:lang w:val="en-US"/>
        </w:rPr>
        <w:t>vs</w:t>
      </w:r>
      <w:proofErr w:type="spellEnd"/>
      <w:r w:rsidRPr="00026244">
        <w:rPr>
          <w:rFonts w:ascii="Palatino Linotype" w:hAnsi="Palatino Linotype"/>
          <w:lang w:val="en-US"/>
        </w:rPr>
        <w:t xml:space="preserve">  92,5 million TJS </w:t>
      </w:r>
      <w:proofErr w:type="spellStart"/>
      <w:r w:rsidRPr="00026244">
        <w:rPr>
          <w:rFonts w:ascii="Palatino Linotype" w:hAnsi="Palatino Linotype"/>
          <w:lang w:val="en-US"/>
        </w:rPr>
        <w:t>an</w:t>
      </w:r>
      <w:proofErr w:type="spellEnd"/>
      <w:r w:rsidRPr="00026244">
        <w:rPr>
          <w:rFonts w:ascii="Palatino Linotype" w:hAnsi="Palatino Linotype"/>
          <w:lang w:val="en-US"/>
        </w:rPr>
        <w:t xml:space="preserve"> the same period of 2010, otherwise the growth makes up </w:t>
      </w:r>
      <w:r w:rsidR="004E1FB3" w:rsidRPr="00026244">
        <w:rPr>
          <w:rFonts w:ascii="Palatino Linotype" w:hAnsi="Palatino Linotype"/>
          <w:lang w:val="en-US"/>
        </w:rPr>
        <w:t>2,5 times</w:t>
      </w:r>
      <w:r w:rsidRPr="00026244">
        <w:rPr>
          <w:rFonts w:ascii="Palatino Linotype" w:hAnsi="Palatino Linotype"/>
          <w:lang w:val="en-US"/>
        </w:rPr>
        <w:t>.</w:t>
      </w:r>
    </w:p>
    <w:p w:rsidR="00FB5F40" w:rsidRPr="00026244" w:rsidRDefault="00FB5F40" w:rsidP="006D06A6">
      <w:pPr>
        <w:tabs>
          <w:tab w:val="num" w:pos="284"/>
        </w:tabs>
        <w:ind w:left="284" w:hanging="284"/>
        <w:rPr>
          <w:rFonts w:ascii="Palatino Linotype" w:hAnsi="Palatino Linotype"/>
          <w:lang w:val="en-US"/>
        </w:rPr>
      </w:pPr>
    </w:p>
    <w:p w:rsidR="00FB5F40" w:rsidRPr="00026244" w:rsidRDefault="00FB5F40" w:rsidP="006D06A6">
      <w:pPr>
        <w:tabs>
          <w:tab w:val="num" w:pos="284"/>
        </w:tabs>
        <w:ind w:left="284" w:hanging="284"/>
        <w:rPr>
          <w:rFonts w:ascii="Palatino Linotype" w:hAnsi="Palatino Linotype"/>
          <w:lang w:val="en-US"/>
        </w:rPr>
      </w:pPr>
    </w:p>
    <w:p w:rsidR="00FB5F40" w:rsidRPr="00026244" w:rsidRDefault="00FB5F40" w:rsidP="006D06A6">
      <w:pPr>
        <w:tabs>
          <w:tab w:val="num" w:pos="284"/>
        </w:tabs>
        <w:ind w:left="284" w:hanging="284"/>
        <w:rPr>
          <w:rFonts w:ascii="Palatino Linotype" w:hAnsi="Palatino Linotype"/>
          <w:lang w:val="en-US"/>
        </w:rPr>
      </w:pPr>
    </w:p>
    <w:p w:rsidR="00FB5F40" w:rsidRPr="00026244" w:rsidRDefault="00FB5F40" w:rsidP="002D6AB7">
      <w:pPr>
        <w:spacing w:after="0"/>
        <w:jc w:val="both"/>
        <w:rPr>
          <w:rFonts w:ascii="Palatino Linotype" w:hAnsi="Palatino Linotype"/>
          <w:b/>
          <w:sz w:val="28"/>
          <w:szCs w:val="28"/>
        </w:rPr>
      </w:pPr>
      <w:r w:rsidRPr="00026244">
        <w:rPr>
          <w:rFonts w:ascii="Palatino Linotype" w:hAnsi="Palatino Linotype"/>
          <w:b/>
          <w:sz w:val="28"/>
          <w:szCs w:val="28"/>
        </w:rPr>
        <w:lastRenderedPageBreak/>
        <w:t xml:space="preserve">Обязательства </w:t>
      </w:r>
    </w:p>
    <w:p w:rsidR="00FB5F40" w:rsidRPr="00026244" w:rsidRDefault="00FB5F40" w:rsidP="002D6AB7">
      <w:pPr>
        <w:spacing w:after="0"/>
        <w:jc w:val="both"/>
        <w:rPr>
          <w:rFonts w:ascii="Palatino Linotype" w:hAnsi="Palatino Linotype"/>
          <w:b/>
        </w:rPr>
      </w:pPr>
    </w:p>
    <w:p w:rsidR="00FB5F40" w:rsidRPr="00026244" w:rsidRDefault="00FB5F40" w:rsidP="002D6AB7">
      <w:pPr>
        <w:spacing w:after="0"/>
        <w:jc w:val="both"/>
        <w:rPr>
          <w:rFonts w:ascii="Palatino Linotype" w:hAnsi="Palatino Linotype"/>
        </w:rPr>
      </w:pPr>
      <w:r w:rsidRPr="00026244">
        <w:rPr>
          <w:rFonts w:ascii="Palatino Linotype" w:hAnsi="Palatino Linotype"/>
        </w:rPr>
        <w:t xml:space="preserve">В 2011 году Амонатбанк придавал большое значение укреплению своей ресурсной базы. Объем привлеченных депозитов  в 2011 году вырос почти на 22,7% в сравнении с 2010-м и составил 767,9 </w:t>
      </w:r>
      <w:proofErr w:type="spellStart"/>
      <w:r w:rsidRPr="00026244">
        <w:rPr>
          <w:rFonts w:ascii="Palatino Linotype" w:hAnsi="Palatino Linotype"/>
        </w:rPr>
        <w:t>млн.сомони</w:t>
      </w:r>
      <w:proofErr w:type="spellEnd"/>
      <w:r w:rsidRPr="00026244">
        <w:rPr>
          <w:rFonts w:ascii="Palatino Linotype" w:hAnsi="Palatino Linotype"/>
        </w:rPr>
        <w:t>. Удельный вес привлеченных депозитов в общем объеме обязательств Банка составляет 84,5%.</w:t>
      </w:r>
    </w:p>
    <w:p w:rsidR="00FB5F40" w:rsidRPr="00026244" w:rsidRDefault="006B0B2F" w:rsidP="002D6AB7">
      <w:pPr>
        <w:pStyle w:val="a5"/>
        <w:rPr>
          <w:rFonts w:ascii="Palatino Linotype" w:hAnsi="Palatino Linotype"/>
        </w:rPr>
      </w:pPr>
      <w:r w:rsidRPr="00026244">
        <w:rPr>
          <w:noProof/>
          <w:lang w:eastAsia="ru-RU"/>
        </w:rPr>
        <w:drawing>
          <wp:anchor distT="0" distB="8001" distL="114300" distR="116205" simplePos="0" relativeHeight="251649536" behindDoc="0" locked="0" layoutInCell="1" allowOverlap="1" wp14:anchorId="3556BB05" wp14:editId="5B518116">
            <wp:simplePos x="0" y="0"/>
            <wp:positionH relativeFrom="column">
              <wp:posOffset>399415</wp:posOffset>
            </wp:positionH>
            <wp:positionV relativeFrom="paragraph">
              <wp:posOffset>61595</wp:posOffset>
            </wp:positionV>
            <wp:extent cx="4971415" cy="3324225"/>
            <wp:effectExtent l="0" t="0" r="635" b="0"/>
            <wp:wrapNone/>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5D680C" w:rsidP="00D62718">
      <w:pPr>
        <w:spacing w:after="0"/>
        <w:jc w:val="both"/>
        <w:rPr>
          <w:rFonts w:ascii="Palatino Linotype" w:hAnsi="Palatino Linotype"/>
          <w:b/>
        </w:rPr>
      </w:pPr>
      <w:r w:rsidRPr="00026244">
        <w:rPr>
          <w:noProof/>
          <w:lang w:eastAsia="ru-RU"/>
        </w:rPr>
        <mc:AlternateContent>
          <mc:Choice Requires="wps">
            <w:drawing>
              <wp:anchor distT="0" distB="0" distL="114300" distR="114300" simplePos="0" relativeHeight="251668992" behindDoc="0" locked="0" layoutInCell="1" allowOverlap="1" wp14:anchorId="60D213C3" wp14:editId="764D19D2">
                <wp:simplePos x="0" y="0"/>
                <wp:positionH relativeFrom="column">
                  <wp:posOffset>2928718</wp:posOffset>
                </wp:positionH>
                <wp:positionV relativeFrom="paragraph">
                  <wp:posOffset>191135</wp:posOffset>
                </wp:positionV>
                <wp:extent cx="659423" cy="245110"/>
                <wp:effectExtent l="0" t="0" r="0" b="0"/>
                <wp:wrapNone/>
                <wp:docPr id="1" name="Поле 1"/>
                <wp:cNvGraphicFramePr/>
                <a:graphic xmlns:a="http://schemas.openxmlformats.org/drawingml/2006/main">
                  <a:graphicData uri="http://schemas.microsoft.com/office/word/2010/wordprocessingShape">
                    <wps:wsp>
                      <wps:cNvSpPr txBox="1"/>
                      <wps:spPr>
                        <a:xfrm>
                          <a:off x="0" y="0"/>
                          <a:ext cx="659423" cy="245110"/>
                        </a:xfrm>
                        <a:prstGeom prst="rect">
                          <a:avLst/>
                        </a:prstGeom>
                      </wps:spPr>
                      <wps:txbx>
                        <w:txbxContent>
                          <w:p w:rsidR="00BA6FED" w:rsidRPr="005D680C" w:rsidRDefault="00BA6FED" w:rsidP="005D680C">
                            <w:pPr>
                              <w:pStyle w:val="af1"/>
                              <w:spacing w:before="0" w:beforeAutospacing="0" w:after="0" w:afterAutospacing="0"/>
                              <w:rPr>
                                <w:sz w:val="22"/>
                                <w:szCs w:val="22"/>
                              </w:rPr>
                            </w:pPr>
                            <w:r w:rsidRPr="005D680C">
                              <w:rPr>
                                <w:rFonts w:ascii="Palatino Linotype" w:hAnsi="Palatino Linotype" w:cstheme="minorBidi"/>
                                <w:b/>
                                <w:bCs/>
                                <w:sz w:val="22"/>
                                <w:szCs w:val="22"/>
                              </w:rPr>
                              <w:t>625,6</w:t>
                            </w:r>
                          </w:p>
                        </w:txbxContent>
                      </wps:txbx>
                      <wps:bodyPr vertOverflow="clip" wrap="square"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30.6pt;margin-top:15.05pt;width:51.9pt;height:19.3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" filled="f" stroked="f">
                <v:textbox>
                  <w:txbxContent>
                    <w:p w:rsidR="000A29D5" w:rsidRPr="005D680C" w:rsidRDefault="000A29D5" w:rsidP="005D680C">
                      <w:pPr>
                        <w:pStyle w:val="af1"/>
                        <w:spacing w:before="0" w:beforeAutospacing="0" w:after="0" w:afterAutospacing="0"/>
                        <w:rPr>
                          <w:sz w:val="22"/>
                          <w:szCs w:val="22"/>
                        </w:rPr>
                      </w:pPr>
                      <w:r w:rsidRPr="005D680C">
                        <w:rPr>
                          <w:rFonts w:ascii="Palatino Linotype" w:hAnsi="Palatino Linotype" w:cstheme="minorBidi"/>
                          <w:b/>
                          <w:bCs/>
                          <w:sz w:val="22"/>
                          <w:szCs w:val="22"/>
                        </w:rPr>
                        <w:t>625,6</w:t>
                      </w:r>
                    </w:p>
                  </w:txbxContent>
                </v:textbox>
              </v:shape>
            </w:pict>
          </mc:Fallback>
        </mc:AlternateContent>
      </w: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006A40">
      <w:pPr>
        <w:spacing w:after="0"/>
        <w:jc w:val="both"/>
        <w:rPr>
          <w:rFonts w:ascii="Palatino Linotype" w:hAnsi="Palatino Linotype"/>
        </w:rPr>
      </w:pPr>
      <w:r w:rsidRPr="00026244">
        <w:rPr>
          <w:rFonts w:ascii="Palatino Linotype" w:hAnsi="Palatino Linotype"/>
        </w:rPr>
        <w:t xml:space="preserve">     В составе обязательств банка заметное место занимает объем привлеченных инвестиций международных финансовых институтов,  остаток  которых  по состоянию на 31 декабря 2011 года составляет 45,2 млн. </w:t>
      </w:r>
      <w:proofErr w:type="spellStart"/>
      <w:r w:rsidRPr="00026244">
        <w:rPr>
          <w:rFonts w:ascii="Palatino Linotype" w:hAnsi="Palatino Linotype"/>
        </w:rPr>
        <w:t>сомони</w:t>
      </w:r>
      <w:proofErr w:type="spellEnd"/>
      <w:r w:rsidRPr="00026244">
        <w:rPr>
          <w:rFonts w:ascii="Palatino Linotype" w:hAnsi="Palatino Linotype"/>
        </w:rPr>
        <w:t xml:space="preserve">, что на 43,4 % больше аналогичного периода 2010 года. </w:t>
      </w:r>
    </w:p>
    <w:p w:rsidR="00FB5F40" w:rsidRPr="00026244" w:rsidRDefault="00FB5F40" w:rsidP="00006A40">
      <w:pPr>
        <w:spacing w:after="0"/>
        <w:jc w:val="both"/>
        <w:rPr>
          <w:rFonts w:ascii="Palatino Linotype" w:hAnsi="Palatino Linotype"/>
        </w:rPr>
      </w:pPr>
      <w:r w:rsidRPr="00026244">
        <w:rPr>
          <w:rFonts w:ascii="Palatino Linotype" w:hAnsi="Palatino Linotype"/>
        </w:rPr>
        <w:t xml:space="preserve">  Оставшаяся доля обязательств приходится в основном на счета к оплате, которые, как правило, имеют сроки погашения в ближайшие 30 дней.  </w:t>
      </w: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766A11" w:rsidRPr="00026244" w:rsidRDefault="00766A11" w:rsidP="00D62718">
      <w:pPr>
        <w:spacing w:after="0"/>
        <w:jc w:val="both"/>
        <w:rPr>
          <w:rFonts w:ascii="Palatino Linotype" w:hAnsi="Palatino Linotype"/>
          <w:b/>
        </w:rPr>
      </w:pPr>
    </w:p>
    <w:p w:rsidR="00766A11" w:rsidRPr="00026244" w:rsidRDefault="00766A11"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rPr>
      </w:pPr>
    </w:p>
    <w:p w:rsidR="00FB5F40" w:rsidRPr="00026244" w:rsidRDefault="00FB5F40" w:rsidP="00D62718">
      <w:pPr>
        <w:spacing w:after="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lastRenderedPageBreak/>
        <w:t xml:space="preserve">Liabilities </w:t>
      </w:r>
    </w:p>
    <w:p w:rsidR="00FB5F40" w:rsidRPr="00026244" w:rsidRDefault="00FB5F40" w:rsidP="00D62718">
      <w:pPr>
        <w:spacing w:after="0"/>
        <w:jc w:val="both"/>
        <w:rPr>
          <w:rFonts w:ascii="Palatino Linotype" w:hAnsi="Palatino Linotype"/>
          <w:b/>
          <w:lang w:val="en-US"/>
        </w:rPr>
      </w:pPr>
    </w:p>
    <w:p w:rsidR="00FB5F40" w:rsidRPr="00026244" w:rsidRDefault="00FB5F40" w:rsidP="00D62718">
      <w:pPr>
        <w:spacing w:after="0"/>
        <w:jc w:val="both"/>
        <w:rPr>
          <w:rFonts w:ascii="Palatino Linotype" w:hAnsi="Palatino Linotype"/>
          <w:lang w:val="en-US"/>
        </w:rPr>
      </w:pPr>
      <w:r w:rsidRPr="00026244">
        <w:rPr>
          <w:rFonts w:ascii="Palatino Linotype" w:hAnsi="Palatino Linotype"/>
          <w:lang w:val="en-US"/>
        </w:rPr>
        <w:t xml:space="preserve">    In 2011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attached special importance to resource base of the Bank. The volume of attracted deposits in 2011 increased by 22,7%  which in comparison with 2010 amounted to 767,9 million TJS.  The unit weight of attracted deposits in the total volume of liabilities makes up 84,5%.</w:t>
      </w: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006A40">
      <w:pPr>
        <w:spacing w:after="0"/>
        <w:jc w:val="both"/>
        <w:rPr>
          <w:rFonts w:ascii="Palatino Linotype" w:hAnsi="Palatino Linotype"/>
          <w:lang w:val="en-US"/>
        </w:rPr>
      </w:pPr>
      <w:r w:rsidRPr="00026244">
        <w:rPr>
          <w:rFonts w:ascii="Palatino Linotype" w:hAnsi="Palatino Linotype"/>
          <w:lang w:val="en-US"/>
        </w:rPr>
        <w:t xml:space="preserve">   Within the liabilities of the bank a notable position occupies volume of attracted investments of International Financial Institutions the remainder of which as of December 31, 2011 amounts to 45,2 million TJS and it is 43,4 % more than the same period of 2010. </w:t>
      </w:r>
    </w:p>
    <w:p w:rsidR="00FB5F40" w:rsidRPr="00026244" w:rsidRDefault="00FB5F40" w:rsidP="00006A40">
      <w:pPr>
        <w:pStyle w:val="a5"/>
        <w:jc w:val="both"/>
        <w:rPr>
          <w:rFonts w:ascii="Palatino Linotype" w:hAnsi="Palatino Linotype"/>
          <w:lang w:val="en-US"/>
        </w:rPr>
      </w:pPr>
      <w:r w:rsidRPr="00026244">
        <w:rPr>
          <w:rFonts w:ascii="Palatino Linotype" w:hAnsi="Palatino Linotype"/>
          <w:lang w:val="en-US"/>
        </w:rPr>
        <w:t xml:space="preserve">  The remaining portion of liabilities fall at accounts payable which as a rule have a due period within the next 30 days</w:t>
      </w:r>
      <w:r w:rsidR="00E90995" w:rsidRPr="00026244">
        <w:rPr>
          <w:rFonts w:ascii="Palatino Linotype" w:hAnsi="Palatino Linotype"/>
          <w:lang w:val="en-US"/>
        </w:rPr>
        <w:t>.</w:t>
      </w: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766A11" w:rsidRPr="00026244" w:rsidRDefault="00766A11" w:rsidP="002D6AB7">
      <w:pPr>
        <w:pStyle w:val="a5"/>
        <w:rPr>
          <w:rFonts w:ascii="Palatino Linotype" w:hAnsi="Palatino Linotype"/>
          <w:lang w:val="en-US"/>
        </w:rPr>
      </w:pPr>
    </w:p>
    <w:p w:rsidR="00766A11" w:rsidRPr="00026244" w:rsidRDefault="00766A11" w:rsidP="002D6AB7">
      <w:pPr>
        <w:pStyle w:val="a5"/>
        <w:rPr>
          <w:rFonts w:ascii="Palatino Linotype" w:hAnsi="Palatino Linotype"/>
          <w:lang w:val="en-US"/>
        </w:rPr>
      </w:pPr>
    </w:p>
    <w:p w:rsidR="00766A11" w:rsidRPr="00026244" w:rsidRDefault="00766A11" w:rsidP="002D6AB7">
      <w:pPr>
        <w:pStyle w:val="a5"/>
        <w:rPr>
          <w:rFonts w:ascii="Palatino Linotype" w:hAnsi="Palatino Linotype"/>
          <w:lang w:val="en-US"/>
        </w:rPr>
      </w:pPr>
    </w:p>
    <w:p w:rsidR="00766A11" w:rsidRPr="00026244" w:rsidRDefault="00766A11"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6B0B2F" w:rsidP="002D6AB7">
      <w:pPr>
        <w:pStyle w:val="a5"/>
        <w:rPr>
          <w:rFonts w:ascii="Palatino Linotype" w:hAnsi="Palatino Linotype"/>
          <w:lang w:val="en-US"/>
        </w:rPr>
      </w:pPr>
      <w:r w:rsidRPr="00026244">
        <w:rPr>
          <w:noProof/>
          <w:lang w:eastAsia="ru-RU"/>
        </w:rPr>
        <w:drawing>
          <wp:anchor distT="0" distB="8001" distL="114300" distR="114300" simplePos="0" relativeHeight="251650560" behindDoc="0" locked="0" layoutInCell="1" allowOverlap="1" wp14:anchorId="06E48268" wp14:editId="076B7FAA">
            <wp:simplePos x="0" y="0"/>
            <wp:positionH relativeFrom="column">
              <wp:posOffset>-238760</wp:posOffset>
            </wp:positionH>
            <wp:positionV relativeFrom="paragraph">
              <wp:posOffset>89535</wp:posOffset>
            </wp:positionV>
            <wp:extent cx="5779135" cy="2706370"/>
            <wp:effectExtent l="0" t="3810" r="3175" b="0"/>
            <wp:wrapNone/>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2D6AB7">
      <w:pPr>
        <w:pStyle w:val="a5"/>
        <w:rPr>
          <w:rFonts w:ascii="Palatino Linotype" w:hAnsi="Palatino Linotype"/>
          <w:lang w:val="en-US"/>
        </w:rPr>
      </w:pPr>
    </w:p>
    <w:p w:rsidR="00FB5F40" w:rsidRPr="00026244" w:rsidRDefault="00FB5F40" w:rsidP="00D62718">
      <w:pPr>
        <w:spacing w:after="0"/>
        <w:jc w:val="both"/>
        <w:rPr>
          <w:rFonts w:ascii="Palatino Linotype" w:hAnsi="Palatino Linotype"/>
          <w:lang w:val="en-US"/>
        </w:rPr>
      </w:pPr>
    </w:p>
    <w:p w:rsidR="00FB5F40" w:rsidRPr="00026244" w:rsidRDefault="00FB5F40" w:rsidP="00D62718">
      <w:pPr>
        <w:spacing w:after="0"/>
        <w:jc w:val="both"/>
        <w:rPr>
          <w:rFonts w:ascii="Palatino Linotype" w:hAnsi="Palatino Linotype"/>
          <w:lang w:val="en-US"/>
        </w:rPr>
      </w:pPr>
    </w:p>
    <w:p w:rsidR="00FB5F40" w:rsidRPr="00026244" w:rsidRDefault="00FB5F40" w:rsidP="00D62718">
      <w:pPr>
        <w:spacing w:after="0"/>
        <w:jc w:val="both"/>
        <w:rPr>
          <w:rFonts w:ascii="Palatino Linotype" w:hAnsi="Palatino Linotype"/>
          <w:lang w:val="en-US"/>
        </w:rPr>
      </w:pPr>
    </w:p>
    <w:p w:rsidR="00FB5F40" w:rsidRPr="00026244" w:rsidRDefault="00FB5F40" w:rsidP="00D62718">
      <w:pPr>
        <w:spacing w:after="0"/>
        <w:jc w:val="both"/>
        <w:rPr>
          <w:rFonts w:ascii="Palatino Linotype" w:hAnsi="Palatino Linotype"/>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lang w:val="en-US"/>
        </w:rPr>
      </w:pPr>
    </w:p>
    <w:p w:rsidR="00FB5F40" w:rsidRPr="00026244" w:rsidRDefault="00FB5F40" w:rsidP="004E4B82">
      <w:pPr>
        <w:pStyle w:val="a3"/>
        <w:spacing w:after="0"/>
        <w:jc w:val="both"/>
        <w:rPr>
          <w:rFonts w:ascii="Palatino Linotype" w:hAnsi="Palatino Linotype"/>
          <w:b/>
          <w:sz w:val="28"/>
          <w:szCs w:val="28"/>
        </w:rPr>
      </w:pPr>
      <w:r w:rsidRPr="00026244">
        <w:rPr>
          <w:rFonts w:ascii="Palatino Linotype" w:hAnsi="Palatino Linotype"/>
          <w:b/>
          <w:sz w:val="28"/>
          <w:szCs w:val="28"/>
        </w:rPr>
        <w:lastRenderedPageBreak/>
        <w:t xml:space="preserve">Капитал </w:t>
      </w:r>
    </w:p>
    <w:p w:rsidR="00FB5F40" w:rsidRPr="00026244" w:rsidRDefault="00FB5F40" w:rsidP="004E4B82">
      <w:pPr>
        <w:spacing w:after="0"/>
        <w:jc w:val="both"/>
        <w:rPr>
          <w:rFonts w:ascii="Palatino Linotype" w:hAnsi="Palatino Linotype"/>
          <w:b/>
        </w:rPr>
      </w:pPr>
    </w:p>
    <w:p w:rsidR="00FB5F40" w:rsidRPr="00026244" w:rsidRDefault="00FB5F40" w:rsidP="004E4B82">
      <w:pPr>
        <w:spacing w:after="0"/>
        <w:jc w:val="both"/>
        <w:rPr>
          <w:rFonts w:ascii="Palatino Linotype" w:hAnsi="Palatino Linotype"/>
        </w:rPr>
      </w:pPr>
      <w:r w:rsidRPr="00026244">
        <w:rPr>
          <w:rFonts w:ascii="Palatino Linotype" w:hAnsi="Palatino Linotype"/>
        </w:rPr>
        <w:t xml:space="preserve">Общий капитал Банка в отчетном году вырос более  чем на 16 млн. </w:t>
      </w:r>
      <w:proofErr w:type="spellStart"/>
      <w:r w:rsidRPr="00026244">
        <w:rPr>
          <w:rFonts w:ascii="Palatino Linotype" w:hAnsi="Palatino Linotype"/>
        </w:rPr>
        <w:t>сомони</w:t>
      </w:r>
      <w:proofErr w:type="spellEnd"/>
      <w:r w:rsidRPr="00026244">
        <w:rPr>
          <w:rFonts w:ascii="Palatino Linotype" w:hAnsi="Palatino Linotype"/>
        </w:rPr>
        <w:t xml:space="preserve"> и достиг на 31 декабря 2011 года 125,6 млн. </w:t>
      </w:r>
      <w:proofErr w:type="spellStart"/>
      <w:r w:rsidRPr="00026244">
        <w:rPr>
          <w:rFonts w:ascii="Palatino Linotype" w:hAnsi="Palatino Linotype"/>
        </w:rPr>
        <w:t>сомони</w:t>
      </w:r>
      <w:proofErr w:type="spellEnd"/>
      <w:r w:rsidRPr="00026244">
        <w:rPr>
          <w:rFonts w:ascii="Palatino Linotype" w:hAnsi="Palatino Linotype"/>
        </w:rPr>
        <w:t xml:space="preserve"> или рост капитала по сравнению с аналогичным периодом 2010 года составил 14,7%.</w:t>
      </w:r>
    </w:p>
    <w:p w:rsidR="00FB5F40" w:rsidRPr="00026244" w:rsidRDefault="006B0B2F" w:rsidP="00D62718">
      <w:pPr>
        <w:spacing w:after="0"/>
        <w:jc w:val="both"/>
        <w:rPr>
          <w:rFonts w:ascii="Palatino Linotype" w:hAnsi="Palatino Linotype"/>
        </w:rPr>
      </w:pPr>
      <w:r w:rsidRPr="00026244">
        <w:rPr>
          <w:noProof/>
          <w:lang w:eastAsia="ru-RU"/>
        </w:rPr>
        <w:drawing>
          <wp:anchor distT="0" distB="5334" distL="114300" distR="116205" simplePos="0" relativeHeight="251651584" behindDoc="0" locked="0" layoutInCell="1" allowOverlap="1" wp14:anchorId="420D52DB" wp14:editId="14307AF2">
            <wp:simplePos x="0" y="0"/>
            <wp:positionH relativeFrom="column">
              <wp:posOffset>197485</wp:posOffset>
            </wp:positionH>
            <wp:positionV relativeFrom="paragraph">
              <wp:posOffset>86995</wp:posOffset>
            </wp:positionV>
            <wp:extent cx="5614670" cy="2871470"/>
            <wp:effectExtent l="0" t="0" r="5080" b="5080"/>
            <wp:wrapNone/>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B5F40" w:rsidRPr="00026244" w:rsidRDefault="00FB5F40" w:rsidP="00D62718">
      <w:pPr>
        <w:spacing w:after="0"/>
        <w:jc w:val="both"/>
        <w:rPr>
          <w:rFonts w:ascii="Palatino Linotype" w:hAnsi="Palatino Linotype"/>
        </w:rPr>
      </w:pPr>
    </w:p>
    <w:p w:rsidR="00FB5F40" w:rsidRPr="00026244" w:rsidRDefault="00EE34E6" w:rsidP="00D62718">
      <w:pPr>
        <w:spacing w:after="0"/>
        <w:jc w:val="both"/>
        <w:rPr>
          <w:rFonts w:ascii="Palatino Linotype" w:hAnsi="Palatino Linotype"/>
        </w:rPr>
      </w:pPr>
      <w:r w:rsidRPr="00026244">
        <w:rPr>
          <w:noProof/>
          <w:lang w:eastAsia="ru-RU"/>
        </w:rPr>
        <mc:AlternateContent>
          <mc:Choice Requires="wps">
            <w:drawing>
              <wp:anchor distT="0" distB="0" distL="114300" distR="114300" simplePos="0" relativeHeight="251673088" behindDoc="0" locked="0" layoutInCell="1" allowOverlap="1" wp14:anchorId="22E95229" wp14:editId="6C01A3DE">
                <wp:simplePos x="0" y="0"/>
                <wp:positionH relativeFrom="column">
                  <wp:posOffset>2931160</wp:posOffset>
                </wp:positionH>
                <wp:positionV relativeFrom="paragraph">
                  <wp:posOffset>151228</wp:posOffset>
                </wp:positionV>
                <wp:extent cx="574040" cy="281305"/>
                <wp:effectExtent l="0" t="0" r="0" b="0"/>
                <wp:wrapNone/>
                <wp:docPr id="21" name="Поле 1"/>
                <wp:cNvGraphicFramePr/>
                <a:graphic xmlns:a="http://schemas.openxmlformats.org/drawingml/2006/main">
                  <a:graphicData uri="http://schemas.microsoft.com/office/word/2010/wordprocessingShape">
                    <wps:wsp>
                      <wps:cNvSpPr txBox="1"/>
                      <wps:spPr>
                        <a:xfrm>
                          <a:off x="0" y="0"/>
                          <a:ext cx="574040" cy="281305"/>
                        </a:xfrm>
                        <a:prstGeom prst="rect">
                          <a:avLst/>
                        </a:prstGeom>
                      </wps:spPr>
                      <wps:txbx>
                        <w:txbxContent>
                          <w:p w:rsidR="00BA6FED" w:rsidRDefault="00BA6FED" w:rsidP="00EE34E6">
                            <w:pPr>
                              <w:pStyle w:val="af1"/>
                              <w:spacing w:before="0" w:beforeAutospacing="0" w:after="0" w:afterAutospacing="0"/>
                            </w:pPr>
                            <w:r>
                              <w:t>110</w:t>
                            </w:r>
                          </w:p>
                        </w:txbxContent>
                      </wps:txbx>
                      <wps:bodyPr vertOverflow="clip" wrap="square" rtlCol="0"/>
                    </wps:wsp>
                  </a:graphicData>
                </a:graphic>
              </wp:anchor>
            </w:drawing>
          </mc:Choice>
          <mc:Fallback>
            <w:pict>
              <v:shape id="_x0000_s1027" type="#_x0000_t202" style="position:absolute;left:0;text-align:left;margin-left:230.8pt;margin-top:11.9pt;width:45.2pt;height:22.1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" filled="f" stroked="f">
                <v:textbox>
                  <w:txbxContent>
                    <w:p w:rsidR="00EE34E6" w:rsidRDefault="00EE34E6" w:rsidP="00EE34E6">
                      <w:pPr>
                        <w:pStyle w:val="af1"/>
                        <w:spacing w:before="0" w:beforeAutospacing="0" w:after="0" w:afterAutospacing="0"/>
                      </w:pPr>
                      <w:r>
                        <w:t>110</w:t>
                      </w:r>
                    </w:p>
                  </w:txbxContent>
                </v:textbox>
              </v:shape>
            </w:pict>
          </mc:Fallback>
        </mc:AlternateContent>
      </w:r>
    </w:p>
    <w:p w:rsidR="00FB5F40" w:rsidRPr="00026244" w:rsidRDefault="00EE34E6" w:rsidP="00D62718">
      <w:pPr>
        <w:spacing w:after="0"/>
        <w:jc w:val="both"/>
        <w:rPr>
          <w:rFonts w:ascii="Palatino Linotype" w:hAnsi="Palatino Linotype"/>
        </w:rPr>
      </w:pPr>
      <w:r w:rsidRPr="00026244">
        <w:rPr>
          <w:noProof/>
          <w:lang w:eastAsia="ru-RU"/>
        </w:rPr>
        <mc:AlternateContent>
          <mc:Choice Requires="wps">
            <w:drawing>
              <wp:anchor distT="0" distB="0" distL="114300" distR="114300" simplePos="0" relativeHeight="251671040" behindDoc="0" locked="0" layoutInCell="1" allowOverlap="1" wp14:anchorId="15F8659A" wp14:editId="755E7246">
                <wp:simplePos x="0" y="0"/>
                <wp:positionH relativeFrom="column">
                  <wp:posOffset>2049438</wp:posOffset>
                </wp:positionH>
                <wp:positionV relativeFrom="paragraph">
                  <wp:posOffset>80694</wp:posOffset>
                </wp:positionV>
                <wp:extent cx="404446" cy="281305"/>
                <wp:effectExtent l="0" t="0" r="0" b="0"/>
                <wp:wrapNone/>
                <wp:docPr id="2" name="Поле 1"/>
                <wp:cNvGraphicFramePr/>
                <a:graphic xmlns:a="http://schemas.openxmlformats.org/drawingml/2006/main">
                  <a:graphicData uri="http://schemas.microsoft.com/office/word/2010/wordprocessingShape">
                    <wps:wsp>
                      <wps:cNvSpPr txBox="1"/>
                      <wps:spPr>
                        <a:xfrm>
                          <a:off x="0" y="0"/>
                          <a:ext cx="404446" cy="281305"/>
                        </a:xfrm>
                        <a:prstGeom prst="rect">
                          <a:avLst/>
                        </a:prstGeom>
                      </wps:spPr>
                      <wps:txbx>
                        <w:txbxContent>
                          <w:p w:rsidR="00BA6FED" w:rsidRDefault="00BA6FED" w:rsidP="00EE34E6">
                            <w:pPr>
                              <w:pStyle w:val="af1"/>
                              <w:spacing w:before="0" w:beforeAutospacing="0" w:after="0" w:afterAutospacing="0"/>
                            </w:pPr>
                            <w:r>
                              <w:t>99</w:t>
                            </w:r>
                          </w:p>
                        </w:txbxContent>
                      </wps:txbx>
                      <wps:bodyPr vertOverflow="clip" wrap="square" rtlCol="0"/>
                    </wps:wsp>
                  </a:graphicData>
                </a:graphic>
                <wp14:sizeRelH relativeFrom="margin">
                  <wp14:pctWidth>0</wp14:pctWidth>
                </wp14:sizeRelH>
              </wp:anchor>
            </w:drawing>
          </mc:Choice>
          <mc:Fallback>
            <w:pict>
              <v:shape id="_x0000_s1028" type="#_x0000_t202" style="position:absolute;left:0;text-align:left;margin-left:161.35pt;margin-top:6.35pt;width:31.85pt;height:22.1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" filled="f" stroked="f">
                <v:textbox>
                  <w:txbxContent>
                    <w:p w:rsidR="00EE34E6" w:rsidRDefault="00EE34E6" w:rsidP="00EE34E6">
                      <w:pPr>
                        <w:pStyle w:val="af1"/>
                        <w:spacing w:before="0" w:beforeAutospacing="0" w:after="0" w:afterAutospacing="0"/>
                      </w:pPr>
                      <w:r>
                        <w:t>99</w:t>
                      </w:r>
                    </w:p>
                  </w:txbxContent>
                </v:textbox>
              </v:shape>
            </w:pict>
          </mc:Fallback>
        </mc:AlternateContent>
      </w:r>
    </w:p>
    <w:p w:rsidR="00FB5F40" w:rsidRPr="00026244" w:rsidRDefault="00FB5F40" w:rsidP="00D62718">
      <w:pPr>
        <w:spacing w:after="0"/>
        <w:jc w:val="both"/>
        <w:rPr>
          <w:rFonts w:ascii="Palatino Linotype" w:hAnsi="Palatino Linotype"/>
        </w:rPr>
      </w:pPr>
    </w:p>
    <w:p w:rsidR="00FB5F40" w:rsidRPr="00026244" w:rsidRDefault="00FB5F40" w:rsidP="00D62718">
      <w:pPr>
        <w:spacing w:after="0"/>
        <w:jc w:val="both"/>
        <w:rPr>
          <w:rFonts w:ascii="Palatino Linotype" w:hAnsi="Palatino Linotype"/>
        </w:rPr>
      </w:pPr>
    </w:p>
    <w:p w:rsidR="00FB5F40" w:rsidRPr="00026244" w:rsidRDefault="00FB5F40" w:rsidP="00D62718">
      <w:pPr>
        <w:spacing w:after="0"/>
        <w:jc w:val="both"/>
        <w:rPr>
          <w:rFonts w:ascii="Palatino Linotype" w:hAnsi="Palatino Linotype"/>
        </w:rPr>
      </w:pPr>
    </w:p>
    <w:p w:rsidR="00FB5F40" w:rsidRPr="00026244" w:rsidRDefault="00FB5F40" w:rsidP="00D62718">
      <w:pPr>
        <w:spacing w:after="0"/>
        <w:jc w:val="both"/>
        <w:rPr>
          <w:rFonts w:ascii="Palatino Linotype" w:hAnsi="Palatino Linotype"/>
        </w:rPr>
      </w:pPr>
    </w:p>
    <w:p w:rsidR="00FB5F40" w:rsidRPr="00026244" w:rsidRDefault="00FB5F40" w:rsidP="00D62718">
      <w:pPr>
        <w:spacing w:after="0"/>
        <w:jc w:val="both"/>
        <w:rPr>
          <w:rFonts w:ascii="Palatino Linotype" w:hAnsi="Palatino Linotype"/>
        </w:rPr>
      </w:pPr>
    </w:p>
    <w:p w:rsidR="00FB5F40" w:rsidRPr="00026244" w:rsidRDefault="00FB5F40" w:rsidP="00D62718">
      <w:pPr>
        <w:spacing w:after="0"/>
        <w:jc w:val="both"/>
        <w:rPr>
          <w:rFonts w:ascii="Palatino Linotype" w:hAnsi="Palatino Linotype"/>
        </w:rPr>
      </w:pPr>
    </w:p>
    <w:p w:rsidR="00FB5F40" w:rsidRPr="00026244" w:rsidRDefault="00FB5F40" w:rsidP="00D62718">
      <w:pPr>
        <w:pStyle w:val="a5"/>
        <w:jc w:val="both"/>
        <w:rPr>
          <w:rFonts w:ascii="Palatino Linotype" w:hAnsi="Palatino Linotype"/>
        </w:rPr>
      </w:pPr>
    </w:p>
    <w:p w:rsidR="00FB5F40" w:rsidRPr="00026244" w:rsidRDefault="00FB5F40" w:rsidP="00D62718">
      <w:pPr>
        <w:pStyle w:val="a5"/>
        <w:jc w:val="both"/>
        <w:rPr>
          <w:rFonts w:ascii="Palatino Linotype" w:hAnsi="Palatino Linotype"/>
        </w:rPr>
      </w:pPr>
    </w:p>
    <w:p w:rsidR="00FB5F40" w:rsidRPr="00026244" w:rsidRDefault="00FB5F40" w:rsidP="00D62718">
      <w:pPr>
        <w:pStyle w:val="a5"/>
        <w:jc w:val="both"/>
        <w:rPr>
          <w:rFonts w:ascii="Palatino Linotype" w:hAnsi="Palatino Linotype"/>
        </w:rPr>
      </w:pPr>
    </w:p>
    <w:p w:rsidR="00FB5F40" w:rsidRPr="00026244" w:rsidRDefault="00FB5F40" w:rsidP="00D62718">
      <w:pPr>
        <w:pStyle w:val="a5"/>
        <w:jc w:val="both"/>
        <w:rPr>
          <w:rFonts w:ascii="Palatino Linotype" w:hAnsi="Palatino Linotype"/>
        </w:rPr>
      </w:pPr>
    </w:p>
    <w:p w:rsidR="00FB5F40" w:rsidRPr="00026244" w:rsidRDefault="00FB5F40" w:rsidP="00D62718">
      <w:pPr>
        <w:pStyle w:val="a5"/>
        <w:jc w:val="both"/>
        <w:rPr>
          <w:rFonts w:ascii="Palatino Linotype" w:hAnsi="Palatino Linotype"/>
          <w:color w:val="FF0000"/>
        </w:rPr>
      </w:pPr>
    </w:p>
    <w:p w:rsidR="00766A11" w:rsidRPr="00026244" w:rsidRDefault="00766A11" w:rsidP="00006A40">
      <w:pPr>
        <w:spacing w:after="0"/>
        <w:jc w:val="both"/>
        <w:rPr>
          <w:rFonts w:ascii="Palatino Linotype" w:hAnsi="Palatino Linotype"/>
        </w:rPr>
      </w:pPr>
    </w:p>
    <w:p w:rsidR="00FB5F40" w:rsidRPr="00026244" w:rsidRDefault="00FB5F40" w:rsidP="00006A40">
      <w:pPr>
        <w:spacing w:after="0"/>
        <w:jc w:val="both"/>
        <w:rPr>
          <w:rFonts w:ascii="Palatino Linotype" w:hAnsi="Palatino Linotype"/>
        </w:rPr>
      </w:pPr>
      <w:r w:rsidRPr="00026244">
        <w:rPr>
          <w:rFonts w:ascii="Palatino Linotype" w:hAnsi="Palatino Linotype"/>
        </w:rPr>
        <w:t xml:space="preserve">Основными источниками роста капитала являются увеличение уставного капитала за счет его пополнения со стороны учредителя – Министерства финансов РТ и полученная чистая прибыль Банка. В  2011 году уставный капитал Амонатбанка увеличился  на 6 млн. </w:t>
      </w:r>
      <w:proofErr w:type="spellStart"/>
      <w:r w:rsidRPr="00026244">
        <w:rPr>
          <w:rFonts w:ascii="Palatino Linotype" w:hAnsi="Palatino Linotype"/>
        </w:rPr>
        <w:t>сомони</w:t>
      </w:r>
      <w:proofErr w:type="spellEnd"/>
      <w:r w:rsidRPr="00026244">
        <w:rPr>
          <w:rFonts w:ascii="Palatino Linotype" w:hAnsi="Palatino Linotype"/>
        </w:rPr>
        <w:t xml:space="preserve"> и  составил  30,4 млн. </w:t>
      </w:r>
      <w:proofErr w:type="spellStart"/>
      <w:r w:rsidRPr="00026244">
        <w:rPr>
          <w:rFonts w:ascii="Palatino Linotype" w:hAnsi="Palatino Linotype"/>
        </w:rPr>
        <w:t>сомони</w:t>
      </w:r>
      <w:proofErr w:type="spellEnd"/>
      <w:r w:rsidRPr="00026244">
        <w:rPr>
          <w:rFonts w:ascii="Palatino Linotype" w:hAnsi="Palatino Linotype"/>
        </w:rPr>
        <w:t>.</w:t>
      </w:r>
    </w:p>
    <w:p w:rsidR="00FB5F40" w:rsidRPr="00026244" w:rsidRDefault="00FB5F40" w:rsidP="00006A40">
      <w:pPr>
        <w:pStyle w:val="a5"/>
        <w:jc w:val="both"/>
        <w:rPr>
          <w:rFonts w:ascii="Palatino Linotype" w:hAnsi="Palatino Linotype"/>
        </w:rPr>
      </w:pPr>
      <w:r w:rsidRPr="00026244">
        <w:rPr>
          <w:rFonts w:ascii="Palatino Linotype" w:hAnsi="Palatino Linotype"/>
        </w:rPr>
        <w:t xml:space="preserve">Согласно международным стандартам финансовой отчетности  (МСФО), чистая прибыль Банка после уплаты налогов  составила 10,1 млн. </w:t>
      </w:r>
      <w:proofErr w:type="spellStart"/>
      <w:r w:rsidRPr="00026244">
        <w:rPr>
          <w:rFonts w:ascii="Palatino Linotype" w:hAnsi="Palatino Linotype"/>
        </w:rPr>
        <w:t>сомони</w:t>
      </w:r>
      <w:proofErr w:type="spellEnd"/>
      <w:r w:rsidRPr="00026244">
        <w:rPr>
          <w:rFonts w:ascii="Palatino Linotype" w:hAnsi="Palatino Linotype"/>
        </w:rPr>
        <w:t xml:space="preserve">, что увеличилась по сравнению с прошлым годом более чем в 2 </w:t>
      </w:r>
      <w:proofErr w:type="spellStart"/>
      <w:r w:rsidRPr="00026244">
        <w:rPr>
          <w:rFonts w:ascii="Palatino Linotype" w:hAnsi="Palatino Linotype"/>
        </w:rPr>
        <w:t>раза.Это</w:t>
      </w:r>
      <w:proofErr w:type="spellEnd"/>
      <w:r w:rsidRPr="00026244">
        <w:rPr>
          <w:rFonts w:ascii="Palatino Linotype" w:hAnsi="Palatino Linotype"/>
        </w:rPr>
        <w:t xml:space="preserve"> привело к росту рентабельности Банка: показатель рентабельности  капитала (ROE) увеличился до 8,1% (4,5 % в 2010 году), а показатель рентабельности активов (ROA) достиг 1,3 % (0,8% в 2010 году).</w:t>
      </w:r>
    </w:p>
    <w:p w:rsidR="00FB5F40" w:rsidRPr="00026244" w:rsidRDefault="00FB5F40" w:rsidP="00D62718">
      <w:pPr>
        <w:pStyle w:val="a5"/>
        <w:jc w:val="both"/>
        <w:rPr>
          <w:rFonts w:ascii="Palatino Linotype" w:hAnsi="Palatino Linotype"/>
        </w:rPr>
      </w:pPr>
    </w:p>
    <w:p w:rsidR="00FB5F40" w:rsidRPr="00026244" w:rsidRDefault="00FB5F40" w:rsidP="00D62718">
      <w:pPr>
        <w:pStyle w:val="a5"/>
        <w:jc w:val="both"/>
        <w:rPr>
          <w:rFonts w:ascii="Palatino Linotype" w:hAnsi="Palatino Linotype"/>
        </w:rPr>
      </w:pPr>
    </w:p>
    <w:p w:rsidR="00FB5F40" w:rsidRPr="00026244" w:rsidRDefault="00FB5F40" w:rsidP="00D62718">
      <w:pPr>
        <w:pStyle w:val="a5"/>
        <w:jc w:val="both"/>
        <w:rPr>
          <w:rFonts w:ascii="Palatino Linotype" w:hAnsi="Palatino Linotype"/>
        </w:rPr>
      </w:pPr>
    </w:p>
    <w:p w:rsidR="00766A11" w:rsidRPr="00026244" w:rsidRDefault="00766A11" w:rsidP="00D62718">
      <w:pPr>
        <w:pStyle w:val="a5"/>
        <w:jc w:val="both"/>
        <w:rPr>
          <w:rFonts w:ascii="Palatino Linotype" w:hAnsi="Palatino Linotype"/>
        </w:rPr>
      </w:pPr>
    </w:p>
    <w:p w:rsidR="00FB5F40" w:rsidRPr="00026244" w:rsidRDefault="00FB5F40" w:rsidP="004E4B82">
      <w:pPr>
        <w:spacing w:after="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lastRenderedPageBreak/>
        <w:t xml:space="preserve">Capital </w:t>
      </w:r>
    </w:p>
    <w:p w:rsidR="00F14B12" w:rsidRPr="00026244" w:rsidRDefault="00FB5F40" w:rsidP="004E4B82">
      <w:pPr>
        <w:spacing w:after="0"/>
        <w:jc w:val="both"/>
        <w:rPr>
          <w:rFonts w:ascii="Palatino Linotype" w:hAnsi="Palatino Linotype"/>
          <w:lang w:val="en-US"/>
        </w:rPr>
      </w:pPr>
      <w:r w:rsidRPr="00026244">
        <w:rPr>
          <w:rFonts w:ascii="Palatino Linotype" w:hAnsi="Palatino Linotype"/>
          <w:lang w:val="en-US"/>
        </w:rPr>
        <w:t xml:space="preserve">  </w:t>
      </w:r>
    </w:p>
    <w:p w:rsidR="00FB5F40" w:rsidRPr="00026244" w:rsidRDefault="00FB5F40" w:rsidP="004E4B82">
      <w:pPr>
        <w:spacing w:after="0"/>
        <w:jc w:val="both"/>
        <w:rPr>
          <w:rFonts w:ascii="Palatino Linotype" w:hAnsi="Palatino Linotype"/>
          <w:lang w:val="en-US"/>
        </w:rPr>
      </w:pPr>
      <w:r w:rsidRPr="00026244">
        <w:rPr>
          <w:rFonts w:ascii="Palatino Linotype" w:hAnsi="Palatino Linotype"/>
          <w:lang w:val="en-US"/>
        </w:rPr>
        <w:t xml:space="preserve">     The total capital of the Bank in the reporting year increased by more than 16 million TJS and by December 31,2011 amounted to 125,6 million TJS and increase of capital if to compare with the same period of 2010 composed 14,7%.</w:t>
      </w: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EE34E6" w:rsidP="00D62718">
      <w:pPr>
        <w:pStyle w:val="a5"/>
        <w:jc w:val="both"/>
        <w:rPr>
          <w:rFonts w:ascii="Palatino Linotype" w:hAnsi="Palatino Linotype"/>
          <w:lang w:val="en-US"/>
        </w:rPr>
      </w:pPr>
      <w:r w:rsidRPr="00026244">
        <w:rPr>
          <w:noProof/>
          <w:lang w:eastAsia="ru-RU"/>
        </w:rPr>
        <mc:AlternateContent>
          <mc:Choice Requires="wps">
            <w:drawing>
              <wp:anchor distT="0" distB="0" distL="114300" distR="114300" simplePos="0" relativeHeight="251675136" behindDoc="0" locked="0" layoutInCell="1" allowOverlap="1" wp14:anchorId="4352E383" wp14:editId="5DEEEAA3">
                <wp:simplePos x="0" y="0"/>
                <wp:positionH relativeFrom="column">
                  <wp:posOffset>533400</wp:posOffset>
                </wp:positionH>
                <wp:positionV relativeFrom="paragraph">
                  <wp:posOffset>112347</wp:posOffset>
                </wp:positionV>
                <wp:extent cx="574040" cy="281305"/>
                <wp:effectExtent l="0" t="0" r="0" b="0"/>
                <wp:wrapNone/>
                <wp:docPr id="22" name="Поле 1"/>
                <wp:cNvGraphicFramePr/>
                <a:graphic xmlns:a="http://schemas.openxmlformats.org/drawingml/2006/main">
                  <a:graphicData uri="http://schemas.microsoft.com/office/word/2010/wordprocessingShape">
                    <wps:wsp>
                      <wps:cNvSpPr txBox="1"/>
                      <wps:spPr>
                        <a:xfrm>
                          <a:off x="0" y="0"/>
                          <a:ext cx="574040" cy="281305"/>
                        </a:xfrm>
                        <a:prstGeom prst="rect">
                          <a:avLst/>
                        </a:prstGeom>
                      </wps:spPr>
                      <wps:txbx>
                        <w:txbxContent>
                          <w:p w:rsidR="00BA6FED" w:rsidRDefault="00BA6FED" w:rsidP="00EE34E6">
                            <w:pPr>
                              <w:pStyle w:val="af1"/>
                              <w:spacing w:before="0" w:beforeAutospacing="0" w:after="0" w:afterAutospacing="0"/>
                            </w:pPr>
                            <w:r>
                              <w:t>126</w:t>
                            </w:r>
                          </w:p>
                        </w:txbxContent>
                      </wps:txbx>
                      <wps:bodyPr vertOverflow="clip" wrap="square" rtlCol="0"/>
                    </wps:wsp>
                  </a:graphicData>
                </a:graphic>
              </wp:anchor>
            </w:drawing>
          </mc:Choice>
          <mc:Fallback>
            <w:pict>
              <v:shape id="_x0000_s1029" type="#_x0000_t202" style="position:absolute;left:0;text-align:left;margin-left:42pt;margin-top:8.85pt;width:45.2pt;height:22.1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" filled="f" stroked="f">
                <v:textbox>
                  <w:txbxContent>
                    <w:p w:rsidR="00EE34E6" w:rsidRDefault="00EE34E6" w:rsidP="00EE34E6">
                      <w:pPr>
                        <w:pStyle w:val="af1"/>
                        <w:spacing w:before="0" w:beforeAutospacing="0" w:after="0" w:afterAutospacing="0"/>
                      </w:pPr>
                      <w:r>
                        <w:t>126</w:t>
                      </w:r>
                    </w:p>
                  </w:txbxContent>
                </v:textbox>
              </v:shape>
            </w:pict>
          </mc:Fallback>
        </mc:AlternateContent>
      </w: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FB5F40" w:rsidRPr="00026244" w:rsidRDefault="00FB5F40" w:rsidP="00D62718">
      <w:pPr>
        <w:pStyle w:val="a5"/>
        <w:jc w:val="both"/>
        <w:rPr>
          <w:rFonts w:ascii="Palatino Linotype" w:hAnsi="Palatino Linotype"/>
          <w:lang w:val="en-US"/>
        </w:rPr>
      </w:pPr>
    </w:p>
    <w:p w:rsidR="00766A11" w:rsidRPr="00026244" w:rsidRDefault="00766A11" w:rsidP="00870B9D">
      <w:pPr>
        <w:spacing w:after="0"/>
        <w:jc w:val="both"/>
        <w:rPr>
          <w:rFonts w:ascii="Palatino Linotype" w:hAnsi="Palatino Linotype"/>
          <w:lang w:val="en-US"/>
        </w:rPr>
      </w:pPr>
    </w:p>
    <w:p w:rsidR="00FB5F40" w:rsidRPr="00026244" w:rsidRDefault="00FB5F40" w:rsidP="00870B9D">
      <w:pPr>
        <w:spacing w:after="0"/>
        <w:jc w:val="both"/>
        <w:rPr>
          <w:rFonts w:ascii="Palatino Linotype" w:hAnsi="Palatino Linotype"/>
          <w:lang w:val="en-US"/>
        </w:rPr>
      </w:pPr>
      <w:r w:rsidRPr="00026244">
        <w:rPr>
          <w:rFonts w:ascii="Palatino Linotype" w:hAnsi="Palatino Linotype"/>
          <w:lang w:val="en-US"/>
        </w:rPr>
        <w:t xml:space="preserve">The main sources of the capital increase are the Chartered capital which is being replenished by the founder of the Bank, the Ministry of Finance of the Republic of Tajikistan and the bank’s net profit. In 2011 the Chartered capital of the Bank increased to 6 million TJS and made up 30,4 million TJS. </w:t>
      </w:r>
    </w:p>
    <w:p w:rsidR="00FB5F40" w:rsidRPr="00026244" w:rsidRDefault="00FB5F40" w:rsidP="00870B9D">
      <w:pPr>
        <w:spacing w:after="0"/>
        <w:jc w:val="both"/>
        <w:rPr>
          <w:rFonts w:ascii="Palatino Linotype" w:hAnsi="Palatino Linotype"/>
          <w:lang w:val="en-US"/>
        </w:rPr>
      </w:pPr>
      <w:r w:rsidRPr="00026244">
        <w:rPr>
          <w:rFonts w:ascii="Palatino Linotype" w:hAnsi="Palatino Linotype"/>
          <w:lang w:val="en-US"/>
        </w:rPr>
        <w:t xml:space="preserve">       In accordance with International Financial Reporting Standards (IFRS) the net profit of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after tax deduction amounted to 10,1 million TJS, which, if to compare with the same period of 2010, increased by more than 2 times. It resulted in raise in profitability of the Bank: ROE increased by 8,1% (4,5% in 2010), and ROA reached 1,3% (0,8% in 2010). </w:t>
      </w:r>
    </w:p>
    <w:p w:rsidR="00FB5F40" w:rsidRPr="00026244" w:rsidRDefault="00FB5F40" w:rsidP="0043254D">
      <w:pPr>
        <w:pStyle w:val="a5"/>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B50351" w:rsidRDefault="00FB5F40" w:rsidP="0043254D">
      <w:pPr>
        <w:spacing w:after="0"/>
        <w:jc w:val="both"/>
        <w:rPr>
          <w:rFonts w:ascii="Palatino Linotype" w:hAnsi="Palatino Linotype"/>
          <w:lang w:val="en-US"/>
        </w:rPr>
      </w:pPr>
    </w:p>
    <w:p w:rsidR="00D433F3" w:rsidRPr="00B50351" w:rsidRDefault="00D433F3" w:rsidP="0043254D">
      <w:pPr>
        <w:spacing w:after="0"/>
        <w:jc w:val="both"/>
        <w:rPr>
          <w:rFonts w:ascii="Palatino Linotype" w:hAnsi="Palatino Linotype"/>
          <w:lang w:val="en-US"/>
        </w:rPr>
      </w:pPr>
    </w:p>
    <w:p w:rsidR="00766A11" w:rsidRPr="00026244" w:rsidRDefault="00766A11" w:rsidP="0043254D">
      <w:pPr>
        <w:spacing w:after="0"/>
        <w:jc w:val="both"/>
        <w:rPr>
          <w:rFonts w:ascii="Palatino Linotype" w:hAnsi="Palatino Linotype"/>
          <w:lang w:val="en-US"/>
        </w:rPr>
      </w:pPr>
    </w:p>
    <w:p w:rsidR="00FB5F40" w:rsidRPr="00026244" w:rsidRDefault="006B0B2F" w:rsidP="0043254D">
      <w:pPr>
        <w:spacing w:after="0"/>
        <w:jc w:val="both"/>
        <w:rPr>
          <w:rFonts w:ascii="Palatino Linotype" w:hAnsi="Palatino Linotype"/>
          <w:lang w:val="en-US"/>
        </w:rPr>
      </w:pPr>
      <w:r w:rsidRPr="00026244">
        <w:rPr>
          <w:noProof/>
          <w:lang w:eastAsia="ru-RU"/>
        </w:rPr>
        <w:lastRenderedPageBreak/>
        <w:drawing>
          <wp:anchor distT="0" distB="8763" distL="114300" distR="114300" simplePos="0" relativeHeight="251652608" behindDoc="0" locked="0" layoutInCell="1" allowOverlap="1" wp14:anchorId="31AC4515" wp14:editId="38E3169D">
            <wp:simplePos x="0" y="0"/>
            <wp:positionH relativeFrom="column">
              <wp:posOffset>-131005</wp:posOffset>
            </wp:positionH>
            <wp:positionV relativeFrom="paragraph">
              <wp:posOffset>185518</wp:posOffset>
            </wp:positionV>
            <wp:extent cx="6137030" cy="3420207"/>
            <wp:effectExtent l="0" t="0" r="0" b="8890"/>
            <wp:wrapNone/>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43254D">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rPr>
          <w:rFonts w:ascii="Palatino Linotype" w:hAnsi="Palatino Linotype"/>
          <w:b/>
          <w:sz w:val="28"/>
          <w:szCs w:val="28"/>
        </w:rPr>
      </w:pPr>
      <w:r w:rsidRPr="00026244">
        <w:rPr>
          <w:rFonts w:ascii="Palatino Linotype" w:hAnsi="Palatino Linotype"/>
          <w:b/>
          <w:sz w:val="28"/>
          <w:szCs w:val="28"/>
        </w:rPr>
        <w:t>Обязательные экономические нормативы</w:t>
      </w:r>
    </w:p>
    <w:p w:rsidR="00FB5F40" w:rsidRPr="00026244" w:rsidRDefault="00FB5F40" w:rsidP="009F644F">
      <w:pPr>
        <w:spacing w:after="0"/>
        <w:jc w:val="both"/>
        <w:rPr>
          <w:rFonts w:ascii="Palatino Linotype" w:hAnsi="Palatino Linotype"/>
        </w:rPr>
      </w:pPr>
      <w:r w:rsidRPr="00026244">
        <w:rPr>
          <w:rFonts w:ascii="Palatino Linotype" w:hAnsi="Palatino Linotype"/>
        </w:rPr>
        <w:t xml:space="preserve">В течение отчетного года Банк соблюдал все </w:t>
      </w:r>
      <w:proofErr w:type="spellStart"/>
      <w:r w:rsidRPr="00026244">
        <w:rPr>
          <w:rFonts w:ascii="Palatino Linotype" w:hAnsi="Palatino Linotype"/>
        </w:rPr>
        <w:t>пруденциальные</w:t>
      </w:r>
      <w:proofErr w:type="spellEnd"/>
      <w:r w:rsidRPr="00026244">
        <w:rPr>
          <w:rFonts w:ascii="Palatino Linotype" w:hAnsi="Palatino Linotype"/>
        </w:rPr>
        <w:t xml:space="preserve"> нормативы, установленные Национальным банком Таджикистан (НБТ). Так, например норматив достаточности капитала К1-1, рассчитанный в соответствии с методикой НБТ отношение капитала к активам взвешенным с учетом риска, по состоянию на конец 2011 года составил 20,2% при установленном нормативе не менее 12%, а коэффициент К1-2 как отношение капитала к общим активам банка составил  12,1 % при нормативе не менее 10 %.</w:t>
      </w: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r w:rsidRPr="00026244">
        <w:rPr>
          <w:rFonts w:ascii="Palatino Linotype" w:hAnsi="Palatino Linotype"/>
          <w:b/>
          <w:color w:val="8064A2"/>
          <w:sz w:val="28"/>
          <w:szCs w:val="28"/>
        </w:rPr>
        <w:t xml:space="preserve">     </w:t>
      </w: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766A11" w:rsidRPr="00026244" w:rsidRDefault="00766A11" w:rsidP="009F644F">
      <w:pPr>
        <w:spacing w:after="0"/>
        <w:jc w:val="both"/>
        <w:rPr>
          <w:rFonts w:ascii="Palatino Linotype" w:hAnsi="Palatino Linotype"/>
          <w:b/>
          <w:color w:val="8064A2"/>
          <w:sz w:val="28"/>
          <w:szCs w:val="28"/>
        </w:rPr>
      </w:pPr>
    </w:p>
    <w:p w:rsidR="00D433F3" w:rsidRPr="00026244" w:rsidRDefault="00D433F3" w:rsidP="009F644F">
      <w:pPr>
        <w:spacing w:after="0"/>
        <w:jc w:val="both"/>
        <w:rPr>
          <w:rFonts w:ascii="Palatino Linotype" w:hAnsi="Palatino Linotype"/>
          <w:b/>
          <w:color w:val="8064A2"/>
          <w:sz w:val="28"/>
          <w:szCs w:val="28"/>
        </w:rPr>
      </w:pPr>
    </w:p>
    <w:p w:rsidR="00FB5F40" w:rsidRPr="00026244" w:rsidRDefault="00FB5F40" w:rsidP="009F644F">
      <w:pPr>
        <w:spacing w:after="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t>Mandatory economic norms</w:t>
      </w:r>
    </w:p>
    <w:p w:rsidR="00FB5F40" w:rsidRPr="00026244" w:rsidRDefault="00FB5F40" w:rsidP="009F644F">
      <w:pPr>
        <w:spacing w:after="0"/>
        <w:jc w:val="both"/>
        <w:rPr>
          <w:rFonts w:ascii="Palatino Linotype" w:hAnsi="Palatino Linotype"/>
          <w:lang w:val="en-US"/>
        </w:rPr>
      </w:pPr>
    </w:p>
    <w:p w:rsidR="00FB5F40" w:rsidRPr="00026244" w:rsidRDefault="00FB5F40" w:rsidP="00766A11">
      <w:pPr>
        <w:spacing w:after="0" w:line="324" w:lineRule="auto"/>
        <w:jc w:val="both"/>
        <w:rPr>
          <w:rFonts w:ascii="Palatino Linotype" w:hAnsi="Palatino Linotype"/>
          <w:lang w:val="en-US"/>
        </w:rPr>
      </w:pPr>
      <w:r w:rsidRPr="00026244">
        <w:rPr>
          <w:rFonts w:ascii="Palatino Linotype" w:hAnsi="Palatino Linotype"/>
          <w:lang w:val="en-US"/>
        </w:rPr>
        <w:t xml:space="preserve">During the reporting year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followed all prudential norms fixed by National Bank of Tajikistan (NBT). For example capital adequacy ratio </w:t>
      </w:r>
      <w:r w:rsidRPr="00026244">
        <w:rPr>
          <w:rFonts w:ascii="Palatino Linotype" w:hAnsi="Palatino Linotype"/>
        </w:rPr>
        <w:t>К</w:t>
      </w:r>
      <w:r w:rsidRPr="00026244">
        <w:rPr>
          <w:rFonts w:ascii="Palatino Linotype" w:hAnsi="Palatino Linotype"/>
          <w:lang w:val="en-US"/>
        </w:rPr>
        <w:t xml:space="preserve">1-1, calculated in accordance with NBT procedures of capital ratio to assets weighted risk at the end of 2011 made up 20,2% and </w:t>
      </w:r>
      <w:r w:rsidRPr="00026244">
        <w:rPr>
          <w:rFonts w:ascii="Palatino Linotype" w:hAnsi="Palatino Linotype"/>
        </w:rPr>
        <w:t>К</w:t>
      </w:r>
      <w:r w:rsidRPr="00026244">
        <w:rPr>
          <w:rFonts w:ascii="Palatino Linotype" w:hAnsi="Palatino Linotype"/>
          <w:lang w:val="en-US"/>
        </w:rPr>
        <w:t>1-2 ration as capital to total bank’s assets made up 12,1 % whereas the nom is no less than 10 %.</w:t>
      </w:r>
    </w:p>
    <w:p w:rsidR="00FB5F40" w:rsidRPr="00026244" w:rsidRDefault="00FB5F40" w:rsidP="009F644F">
      <w:pPr>
        <w:spacing w:after="0"/>
        <w:jc w:val="both"/>
        <w:rPr>
          <w:rFonts w:ascii="Palatino Linotype" w:hAnsi="Palatino Linotype"/>
          <w:lang w:val="en-US"/>
        </w:rPr>
      </w:pPr>
    </w:p>
    <w:p w:rsidR="00766A11" w:rsidRPr="00026244" w:rsidRDefault="00766A11" w:rsidP="009F644F">
      <w:pPr>
        <w:spacing w:after="0"/>
        <w:jc w:val="both"/>
        <w:rPr>
          <w:rFonts w:ascii="Palatino Linotype" w:hAnsi="Palatino Linotype"/>
          <w:lang w:val="en-US"/>
        </w:rPr>
      </w:pPr>
    </w:p>
    <w:p w:rsidR="00766A11" w:rsidRPr="00026244" w:rsidRDefault="00766A11" w:rsidP="00766A11">
      <w:pPr>
        <w:spacing w:after="0"/>
        <w:jc w:val="center"/>
        <w:rPr>
          <w:rFonts w:ascii="Palatino Linotype" w:hAnsi="Palatino Linotype"/>
          <w:sz w:val="24"/>
          <w:szCs w:val="24"/>
          <w:lang w:val="en-US"/>
        </w:rPr>
      </w:pPr>
    </w:p>
    <w:p w:rsidR="00766A11" w:rsidRPr="00026244" w:rsidRDefault="00766A11" w:rsidP="00766A11">
      <w:pPr>
        <w:spacing w:after="0"/>
        <w:jc w:val="center"/>
        <w:rPr>
          <w:rFonts w:ascii="Palatino Linotype" w:hAnsi="Palatino Linotype"/>
          <w:sz w:val="24"/>
          <w:szCs w:val="24"/>
          <w:lang w:val="en-US"/>
        </w:rPr>
      </w:pPr>
    </w:p>
    <w:p w:rsidR="00766A11" w:rsidRPr="00026244" w:rsidRDefault="00766A11" w:rsidP="00766A11">
      <w:pPr>
        <w:spacing w:after="0"/>
        <w:jc w:val="center"/>
        <w:rPr>
          <w:rFonts w:ascii="Palatino Linotype" w:hAnsi="Palatino Linotype"/>
          <w:sz w:val="24"/>
          <w:szCs w:val="24"/>
          <w:lang w:val="en-US"/>
        </w:rPr>
      </w:pPr>
    </w:p>
    <w:p w:rsidR="00766A11" w:rsidRPr="00026244" w:rsidRDefault="00766A11" w:rsidP="00766A11">
      <w:pPr>
        <w:spacing w:after="0"/>
        <w:jc w:val="center"/>
        <w:rPr>
          <w:rFonts w:ascii="Palatino Linotype" w:hAnsi="Palatino Linotype"/>
          <w:sz w:val="24"/>
          <w:szCs w:val="24"/>
          <w:lang w:val="en-US"/>
        </w:rPr>
      </w:pPr>
    </w:p>
    <w:p w:rsidR="00766A11" w:rsidRPr="00026244" w:rsidRDefault="00766A11" w:rsidP="00766A11">
      <w:pPr>
        <w:spacing w:after="0"/>
        <w:jc w:val="center"/>
        <w:rPr>
          <w:rFonts w:ascii="Palatino Linotype" w:hAnsi="Palatino Linotype"/>
          <w:sz w:val="24"/>
          <w:szCs w:val="24"/>
          <w:lang w:val="en-US"/>
        </w:rPr>
      </w:pPr>
    </w:p>
    <w:p w:rsidR="00766A11" w:rsidRPr="00B50351" w:rsidRDefault="00766A11" w:rsidP="00766A11">
      <w:pPr>
        <w:spacing w:after="0"/>
        <w:jc w:val="center"/>
        <w:rPr>
          <w:rFonts w:ascii="Palatino Linotype" w:hAnsi="Palatino Linotype"/>
          <w:sz w:val="24"/>
          <w:szCs w:val="24"/>
          <w:lang w:val="en-US"/>
        </w:rPr>
      </w:pPr>
    </w:p>
    <w:p w:rsidR="00D433F3" w:rsidRPr="00B50351" w:rsidRDefault="00D433F3" w:rsidP="00766A11">
      <w:pPr>
        <w:spacing w:after="0"/>
        <w:jc w:val="center"/>
        <w:rPr>
          <w:rFonts w:ascii="Palatino Linotype" w:hAnsi="Palatino Linotype"/>
          <w:sz w:val="24"/>
          <w:szCs w:val="24"/>
          <w:lang w:val="en-US"/>
        </w:rPr>
      </w:pPr>
    </w:p>
    <w:p w:rsidR="00D433F3" w:rsidRPr="00B50351" w:rsidRDefault="00D433F3" w:rsidP="00766A11">
      <w:pPr>
        <w:spacing w:after="0"/>
        <w:jc w:val="center"/>
        <w:rPr>
          <w:rFonts w:ascii="Palatino Linotype" w:hAnsi="Palatino Linotype"/>
          <w:sz w:val="24"/>
          <w:szCs w:val="24"/>
          <w:lang w:val="en-US"/>
        </w:rPr>
      </w:pPr>
    </w:p>
    <w:p w:rsidR="00D433F3" w:rsidRPr="00B50351" w:rsidRDefault="00D433F3" w:rsidP="00766A11">
      <w:pPr>
        <w:spacing w:after="0"/>
        <w:jc w:val="center"/>
        <w:rPr>
          <w:rFonts w:ascii="Palatino Linotype" w:hAnsi="Palatino Linotype"/>
          <w:sz w:val="24"/>
          <w:szCs w:val="24"/>
          <w:lang w:val="en-US"/>
        </w:rPr>
      </w:pPr>
    </w:p>
    <w:p w:rsidR="00766A11" w:rsidRPr="00026244" w:rsidRDefault="00766A11" w:rsidP="00766A11">
      <w:pPr>
        <w:spacing w:after="0"/>
        <w:jc w:val="center"/>
        <w:rPr>
          <w:rFonts w:ascii="Palatino Linotype" w:hAnsi="Palatino Linotype"/>
          <w:sz w:val="24"/>
          <w:szCs w:val="24"/>
          <w:lang w:val="en-US"/>
        </w:rPr>
        <w:sectPr w:rsidR="00766A11" w:rsidRPr="00026244" w:rsidSect="00EF010A">
          <w:type w:val="continuous"/>
          <w:pgSz w:w="11906" w:h="16838"/>
          <w:pgMar w:top="1134" w:right="850" w:bottom="993" w:left="1134" w:header="708" w:footer="708" w:gutter="0"/>
          <w:cols w:num="2" w:space="566"/>
          <w:docGrid w:linePitch="360"/>
        </w:sectPr>
      </w:pPr>
    </w:p>
    <w:p w:rsidR="00766A11" w:rsidRPr="00026244" w:rsidRDefault="00766A11" w:rsidP="00766A11">
      <w:pPr>
        <w:spacing w:after="0"/>
        <w:jc w:val="center"/>
        <w:rPr>
          <w:rFonts w:ascii="Palatino Linotype" w:hAnsi="Palatino Linotype"/>
          <w:b/>
          <w:color w:val="006600"/>
          <w:sz w:val="24"/>
          <w:szCs w:val="24"/>
          <w:lang w:val="en-US"/>
        </w:rPr>
      </w:pPr>
      <w:r w:rsidRPr="00026244">
        <w:rPr>
          <w:rFonts w:ascii="Palatino Linotype" w:hAnsi="Palatino Linotype"/>
          <w:b/>
          <w:color w:val="006600"/>
          <w:sz w:val="24"/>
          <w:szCs w:val="24"/>
        </w:rPr>
        <w:lastRenderedPageBreak/>
        <w:t>СОБЛЮДЕНИЕ</w:t>
      </w:r>
      <w:r w:rsidRPr="00026244">
        <w:rPr>
          <w:rFonts w:ascii="Palatino Linotype" w:hAnsi="Palatino Linotype"/>
          <w:b/>
          <w:color w:val="006600"/>
          <w:sz w:val="24"/>
          <w:szCs w:val="24"/>
          <w:lang w:val="en-US"/>
        </w:rPr>
        <w:t xml:space="preserve"> </w:t>
      </w:r>
      <w:r w:rsidRPr="00026244">
        <w:rPr>
          <w:rFonts w:ascii="Palatino Linotype" w:hAnsi="Palatino Linotype"/>
          <w:b/>
          <w:color w:val="006600"/>
          <w:sz w:val="24"/>
          <w:szCs w:val="24"/>
        </w:rPr>
        <w:t>ПРУДЕНЦИАЛЬНЫХ</w:t>
      </w:r>
      <w:r w:rsidRPr="00026244">
        <w:rPr>
          <w:rFonts w:ascii="Palatino Linotype" w:hAnsi="Palatino Linotype"/>
          <w:b/>
          <w:color w:val="006600"/>
          <w:sz w:val="24"/>
          <w:szCs w:val="24"/>
          <w:lang w:val="en-US"/>
        </w:rPr>
        <w:t xml:space="preserve"> </w:t>
      </w:r>
      <w:r w:rsidRPr="00026244">
        <w:rPr>
          <w:rFonts w:ascii="Palatino Linotype" w:hAnsi="Palatino Linotype"/>
          <w:b/>
          <w:color w:val="006600"/>
          <w:sz w:val="24"/>
          <w:szCs w:val="24"/>
        </w:rPr>
        <w:t>НОРМАТИВОВ</w:t>
      </w:r>
    </w:p>
    <w:tbl>
      <w:tblPr>
        <w:tblpPr w:leftFromText="180" w:rightFromText="180" w:vertAnchor="text" w:horzAnchor="margin" w:tblpY="434"/>
        <w:tblW w:w="9747" w:type="dxa"/>
        <w:tblLayout w:type="fixed"/>
        <w:tblLook w:val="00A0" w:firstRow="1" w:lastRow="0" w:firstColumn="1" w:lastColumn="0" w:noHBand="0" w:noVBand="0"/>
      </w:tblPr>
      <w:tblGrid>
        <w:gridCol w:w="5637"/>
        <w:gridCol w:w="2835"/>
        <w:gridCol w:w="1275"/>
      </w:tblGrid>
      <w:tr w:rsidR="00766A11" w:rsidRPr="00026244" w:rsidTr="00766A11">
        <w:trPr>
          <w:trHeight w:val="660"/>
        </w:trPr>
        <w:tc>
          <w:tcPr>
            <w:tcW w:w="5637" w:type="dxa"/>
            <w:tcBorders>
              <w:top w:val="single" w:sz="18" w:space="0" w:color="00B0F0"/>
              <w:left w:val="single" w:sz="6" w:space="0" w:color="00B0F0"/>
              <w:bottom w:val="single" w:sz="18" w:space="0" w:color="00B0F0"/>
              <w:right w:val="single" w:sz="6" w:space="0" w:color="00B0F0"/>
            </w:tcBorders>
            <w:shd w:val="clear" w:color="auto" w:fill="92D050"/>
            <w:vAlign w:val="center"/>
          </w:tcPr>
          <w:p w:rsidR="00766A11" w:rsidRPr="00026244" w:rsidRDefault="00766A11" w:rsidP="00766A11">
            <w:pPr>
              <w:spacing w:after="0" w:line="240" w:lineRule="auto"/>
              <w:jc w:val="center"/>
              <w:rPr>
                <w:rFonts w:ascii="Palatino Linotype" w:hAnsi="Palatino Linotype" w:cs="Arial CYR"/>
                <w:b/>
                <w:bCs/>
                <w:sz w:val="20"/>
                <w:szCs w:val="20"/>
                <w:lang w:eastAsia="ru-RU"/>
              </w:rPr>
            </w:pPr>
            <w:r w:rsidRPr="00026244">
              <w:rPr>
                <w:rFonts w:ascii="Palatino Linotype" w:hAnsi="Palatino Linotype" w:cs="Arial CYR"/>
                <w:b/>
                <w:bCs/>
                <w:sz w:val="20"/>
                <w:szCs w:val="20"/>
                <w:lang w:eastAsia="ru-RU"/>
              </w:rPr>
              <w:t>Наименование экономических нормативов</w:t>
            </w:r>
          </w:p>
          <w:p w:rsidR="00766A11" w:rsidRPr="00026244" w:rsidRDefault="00766A11" w:rsidP="00766A11">
            <w:pPr>
              <w:spacing w:after="0" w:line="240" w:lineRule="auto"/>
              <w:jc w:val="center"/>
              <w:rPr>
                <w:rFonts w:ascii="Palatino Linotype" w:hAnsi="Palatino Linotype" w:cs="Arial CYR"/>
                <w:b/>
                <w:bCs/>
                <w:sz w:val="20"/>
                <w:szCs w:val="20"/>
                <w:lang w:val="en-US" w:eastAsia="ru-RU"/>
              </w:rPr>
            </w:pPr>
            <w:proofErr w:type="spellStart"/>
            <w:r w:rsidRPr="00026244">
              <w:rPr>
                <w:rFonts w:ascii="Palatino Linotype" w:hAnsi="Palatino Linotype" w:cs="Arial CYR"/>
                <w:b/>
                <w:bCs/>
                <w:sz w:val="20"/>
                <w:szCs w:val="20"/>
                <w:lang w:eastAsia="ru-RU"/>
              </w:rPr>
              <w:t>Thetitleofeconomicnormative</w:t>
            </w:r>
            <w:proofErr w:type="spellEnd"/>
          </w:p>
        </w:tc>
        <w:tc>
          <w:tcPr>
            <w:tcW w:w="2835" w:type="dxa"/>
            <w:tcBorders>
              <w:top w:val="single" w:sz="18" w:space="0" w:color="00B0F0"/>
              <w:left w:val="single" w:sz="6" w:space="0" w:color="00B0F0"/>
              <w:bottom w:val="single" w:sz="18" w:space="0" w:color="00B0F0"/>
              <w:right w:val="single" w:sz="6" w:space="0" w:color="00B0F0"/>
            </w:tcBorders>
            <w:shd w:val="clear" w:color="auto" w:fill="92D050"/>
            <w:vAlign w:val="center"/>
          </w:tcPr>
          <w:p w:rsidR="00766A11" w:rsidRPr="00026244" w:rsidRDefault="00766A11" w:rsidP="0092260D">
            <w:pPr>
              <w:spacing w:after="0" w:line="240" w:lineRule="auto"/>
              <w:jc w:val="center"/>
              <w:rPr>
                <w:rFonts w:ascii="Palatino Linotype" w:hAnsi="Palatino Linotype" w:cs="Arial CYR"/>
                <w:b/>
                <w:bCs/>
                <w:sz w:val="20"/>
                <w:szCs w:val="20"/>
                <w:lang w:eastAsia="ru-RU"/>
              </w:rPr>
            </w:pPr>
            <w:r w:rsidRPr="00026244">
              <w:rPr>
                <w:rFonts w:ascii="Palatino Linotype" w:hAnsi="Palatino Linotype" w:cs="Arial CYR"/>
                <w:b/>
                <w:bCs/>
                <w:sz w:val="20"/>
                <w:szCs w:val="20"/>
                <w:lang w:eastAsia="ru-RU"/>
              </w:rPr>
              <w:t xml:space="preserve">Установленные  экономические нормативы  </w:t>
            </w:r>
            <w:r w:rsidR="0092260D" w:rsidRPr="00026244">
              <w:rPr>
                <w:rFonts w:ascii="Palatino Linotype" w:hAnsi="Palatino Linotype" w:cs="Arial CYR"/>
                <w:b/>
                <w:bCs/>
                <w:sz w:val="20"/>
                <w:szCs w:val="20"/>
                <w:lang w:eastAsia="ru-RU"/>
              </w:rPr>
              <w:t>НБТ</w:t>
            </w:r>
            <w:r w:rsidRPr="00026244">
              <w:rPr>
                <w:rFonts w:ascii="Palatino Linotype" w:hAnsi="Palatino Linotype" w:cs="Arial CYR"/>
                <w:b/>
                <w:bCs/>
                <w:sz w:val="20"/>
                <w:szCs w:val="20"/>
                <w:lang w:eastAsia="ru-RU"/>
              </w:rPr>
              <w:t xml:space="preserve">                       </w:t>
            </w:r>
            <w:proofErr w:type="spellStart"/>
            <w:r w:rsidRPr="00026244">
              <w:rPr>
                <w:rFonts w:ascii="Palatino Linotype" w:hAnsi="Palatino Linotype" w:cs="Arial CYR"/>
                <w:b/>
                <w:bCs/>
                <w:sz w:val="20"/>
                <w:szCs w:val="20"/>
                <w:lang w:eastAsia="ru-RU"/>
              </w:rPr>
              <w:t>Fixed</w:t>
            </w:r>
            <w:proofErr w:type="spellEnd"/>
            <w:r w:rsidRPr="00026244">
              <w:rPr>
                <w:rFonts w:ascii="Palatino Linotype" w:hAnsi="Palatino Linotype" w:cs="Arial CYR"/>
                <w:b/>
                <w:bCs/>
                <w:sz w:val="20"/>
                <w:szCs w:val="20"/>
                <w:lang w:eastAsia="ru-RU"/>
              </w:rPr>
              <w:t xml:space="preserve"> </w:t>
            </w:r>
            <w:proofErr w:type="spellStart"/>
            <w:r w:rsidRPr="00026244">
              <w:rPr>
                <w:rFonts w:ascii="Palatino Linotype" w:hAnsi="Palatino Linotype" w:cs="Arial CYR"/>
                <w:b/>
                <w:bCs/>
                <w:sz w:val="20"/>
                <w:szCs w:val="20"/>
                <w:lang w:eastAsia="ru-RU"/>
              </w:rPr>
              <w:t>economic</w:t>
            </w:r>
            <w:proofErr w:type="spellEnd"/>
            <w:r w:rsidRPr="00026244">
              <w:rPr>
                <w:rFonts w:ascii="Palatino Linotype" w:hAnsi="Palatino Linotype" w:cs="Arial CYR"/>
                <w:b/>
                <w:bCs/>
                <w:sz w:val="20"/>
                <w:szCs w:val="20"/>
                <w:lang w:eastAsia="ru-RU"/>
              </w:rPr>
              <w:t xml:space="preserve"> </w:t>
            </w:r>
            <w:proofErr w:type="spellStart"/>
            <w:r w:rsidRPr="00026244">
              <w:rPr>
                <w:rFonts w:ascii="Palatino Linotype" w:hAnsi="Palatino Linotype" w:cs="Arial CYR"/>
                <w:b/>
                <w:bCs/>
                <w:sz w:val="20"/>
                <w:szCs w:val="20"/>
                <w:lang w:eastAsia="ru-RU"/>
              </w:rPr>
              <w:t>normative</w:t>
            </w:r>
            <w:proofErr w:type="spellEnd"/>
            <w:r w:rsidR="0092260D" w:rsidRPr="00026244">
              <w:rPr>
                <w:rFonts w:ascii="Palatino Linotype" w:hAnsi="Palatino Linotype" w:cs="Arial CYR"/>
                <w:b/>
                <w:bCs/>
                <w:sz w:val="20"/>
                <w:szCs w:val="20"/>
                <w:lang w:eastAsia="ru-RU"/>
              </w:rPr>
              <w:t xml:space="preserve"> </w:t>
            </w:r>
            <w:r w:rsidR="0092260D" w:rsidRPr="00026244">
              <w:rPr>
                <w:rFonts w:ascii="Palatino Linotype" w:hAnsi="Palatino Linotype" w:cs="Arial CYR"/>
                <w:b/>
                <w:bCs/>
                <w:sz w:val="20"/>
                <w:szCs w:val="20"/>
                <w:lang w:val="en-US" w:eastAsia="ru-RU"/>
              </w:rPr>
              <w:t>NBT</w:t>
            </w:r>
          </w:p>
        </w:tc>
        <w:tc>
          <w:tcPr>
            <w:tcW w:w="1275" w:type="dxa"/>
            <w:tcBorders>
              <w:top w:val="single" w:sz="18" w:space="0" w:color="00B0F0"/>
              <w:left w:val="single" w:sz="6" w:space="0" w:color="00B0F0"/>
              <w:bottom w:val="single" w:sz="18" w:space="0" w:color="00B0F0"/>
              <w:right w:val="single" w:sz="6" w:space="0" w:color="00B0F0"/>
            </w:tcBorders>
            <w:shd w:val="clear" w:color="auto" w:fill="92D050"/>
            <w:vAlign w:val="center"/>
          </w:tcPr>
          <w:p w:rsidR="00766A11" w:rsidRPr="00026244" w:rsidRDefault="00766A11" w:rsidP="00766A11">
            <w:pPr>
              <w:spacing w:after="0" w:line="240" w:lineRule="auto"/>
              <w:rPr>
                <w:rFonts w:ascii="Palatino Linotype" w:hAnsi="Palatino Linotype" w:cs="Arial CYR"/>
                <w:b/>
                <w:bCs/>
                <w:sz w:val="20"/>
                <w:szCs w:val="20"/>
                <w:lang w:eastAsia="ru-RU"/>
              </w:rPr>
            </w:pPr>
          </w:p>
          <w:p w:rsidR="00766A11" w:rsidRPr="00026244" w:rsidRDefault="00766A11" w:rsidP="00766A11">
            <w:pPr>
              <w:spacing w:after="0" w:line="240" w:lineRule="auto"/>
              <w:rPr>
                <w:rFonts w:ascii="Palatino Linotype" w:hAnsi="Palatino Linotype" w:cs="Arial CYR"/>
                <w:b/>
                <w:bCs/>
                <w:sz w:val="20"/>
                <w:szCs w:val="20"/>
                <w:lang w:eastAsia="ru-RU"/>
              </w:rPr>
            </w:pPr>
          </w:p>
          <w:p w:rsidR="00766A11" w:rsidRPr="00026244" w:rsidRDefault="00766A11" w:rsidP="00766A11">
            <w:pPr>
              <w:spacing w:after="0" w:line="240" w:lineRule="auto"/>
              <w:rPr>
                <w:rFonts w:ascii="Palatino Linotype" w:hAnsi="Palatino Linotype" w:cs="Arial CYR"/>
                <w:b/>
                <w:bCs/>
                <w:sz w:val="20"/>
                <w:szCs w:val="20"/>
                <w:lang w:eastAsia="ru-RU"/>
              </w:rPr>
            </w:pPr>
            <w:r w:rsidRPr="00026244">
              <w:rPr>
                <w:rFonts w:ascii="Palatino Linotype" w:hAnsi="Palatino Linotype" w:cs="Arial CYR"/>
                <w:b/>
                <w:bCs/>
                <w:sz w:val="20"/>
                <w:szCs w:val="20"/>
                <w:lang w:eastAsia="ru-RU"/>
              </w:rPr>
              <w:t>31.12.2011</w:t>
            </w:r>
          </w:p>
        </w:tc>
      </w:tr>
      <w:tr w:rsidR="00766A11" w:rsidRPr="00026244" w:rsidTr="00766A11">
        <w:tc>
          <w:tcPr>
            <w:tcW w:w="5637" w:type="dxa"/>
            <w:tcBorders>
              <w:top w:val="single" w:sz="18"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eastAsia="ru-RU"/>
              </w:rPr>
              <w:t>Общий</w:t>
            </w:r>
            <w:r w:rsidR="005441AE">
              <w:rPr>
                <w:rFonts w:ascii="Palatino Linotype" w:hAnsi="Palatino Linotype" w:cs="Arial CYR"/>
                <w:sz w:val="20"/>
                <w:szCs w:val="20"/>
                <w:lang w:eastAsia="ru-RU"/>
              </w:rPr>
              <w:t xml:space="preserve"> </w:t>
            </w:r>
            <w:r w:rsidRPr="00026244">
              <w:rPr>
                <w:rFonts w:ascii="Palatino Linotype" w:hAnsi="Palatino Linotype" w:cs="Arial CYR"/>
                <w:sz w:val="20"/>
                <w:szCs w:val="20"/>
                <w:lang w:eastAsia="ru-RU"/>
              </w:rPr>
              <w:t>капитал</w:t>
            </w:r>
            <w:r w:rsidRPr="00026244">
              <w:rPr>
                <w:rFonts w:ascii="Palatino Linotype" w:hAnsi="Palatino Linotype" w:cs="Arial CYR"/>
                <w:sz w:val="20"/>
                <w:szCs w:val="20"/>
                <w:lang w:val="en-US" w:eastAsia="ru-RU"/>
              </w:rPr>
              <w:t xml:space="preserve"> (</w:t>
            </w:r>
            <w:proofErr w:type="spellStart"/>
            <w:r w:rsidRPr="00026244">
              <w:rPr>
                <w:rFonts w:ascii="Palatino Linotype" w:hAnsi="Palatino Linotype" w:cs="Arial CYR"/>
                <w:sz w:val="20"/>
                <w:szCs w:val="20"/>
                <w:lang w:eastAsia="ru-RU"/>
              </w:rPr>
              <w:t>тыс</w:t>
            </w:r>
            <w:proofErr w:type="spellEnd"/>
            <w:r w:rsidRPr="00026244">
              <w:rPr>
                <w:rFonts w:ascii="Palatino Linotype" w:hAnsi="Palatino Linotype" w:cs="Arial CYR"/>
                <w:sz w:val="20"/>
                <w:szCs w:val="20"/>
                <w:lang w:val="en-US" w:eastAsia="ru-RU"/>
              </w:rPr>
              <w:t>.TJS)</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Total capital (thousand TJS)</w:t>
            </w:r>
          </w:p>
        </w:tc>
        <w:tc>
          <w:tcPr>
            <w:tcW w:w="2835" w:type="dxa"/>
            <w:tcBorders>
              <w:top w:val="single" w:sz="18"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b/>
                <w:bCs/>
                <w:sz w:val="20"/>
                <w:szCs w:val="20"/>
                <w:lang w:val="en-US" w:eastAsia="ru-RU"/>
              </w:rPr>
            </w:pPr>
          </w:p>
        </w:tc>
        <w:tc>
          <w:tcPr>
            <w:tcW w:w="1275" w:type="dxa"/>
            <w:tcBorders>
              <w:top w:val="single" w:sz="18"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125 582</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eastAsia="ru-RU"/>
              </w:rPr>
              <w:t>Регулятивный</w:t>
            </w:r>
            <w:r w:rsidR="005441AE">
              <w:rPr>
                <w:rFonts w:ascii="Palatino Linotype" w:hAnsi="Palatino Linotype" w:cs="Arial CYR"/>
                <w:sz w:val="20"/>
                <w:szCs w:val="20"/>
                <w:lang w:eastAsia="ru-RU"/>
              </w:rPr>
              <w:t xml:space="preserve"> </w:t>
            </w:r>
            <w:bookmarkStart w:id="0" w:name="_GoBack"/>
            <w:bookmarkEnd w:id="0"/>
            <w:r w:rsidRPr="00026244">
              <w:rPr>
                <w:rFonts w:ascii="Palatino Linotype" w:hAnsi="Palatino Linotype" w:cs="Arial CYR"/>
                <w:sz w:val="20"/>
                <w:szCs w:val="20"/>
                <w:lang w:eastAsia="ru-RU"/>
              </w:rPr>
              <w:t>капитал</w:t>
            </w:r>
            <w:r w:rsidRPr="00026244">
              <w:rPr>
                <w:rFonts w:ascii="Palatino Linotype" w:hAnsi="Palatino Linotype" w:cs="Arial CYR"/>
                <w:sz w:val="20"/>
                <w:szCs w:val="20"/>
                <w:lang w:val="en-US" w:eastAsia="ru-RU"/>
              </w:rPr>
              <w:t>(</w:t>
            </w:r>
            <w:proofErr w:type="spellStart"/>
            <w:r w:rsidRPr="00026244">
              <w:rPr>
                <w:rFonts w:ascii="Palatino Linotype" w:hAnsi="Palatino Linotype" w:cs="Arial CYR"/>
                <w:sz w:val="20"/>
                <w:szCs w:val="20"/>
                <w:lang w:eastAsia="ru-RU"/>
              </w:rPr>
              <w:t>тыс</w:t>
            </w:r>
            <w:proofErr w:type="spellEnd"/>
            <w:r w:rsidRPr="00026244">
              <w:rPr>
                <w:rFonts w:ascii="Palatino Linotype" w:hAnsi="Palatino Linotype" w:cs="Arial CYR"/>
                <w:sz w:val="20"/>
                <w:szCs w:val="20"/>
                <w:lang w:val="en-US" w:eastAsia="ru-RU"/>
              </w:rPr>
              <w:t>.TJS)</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Regulatory capital(thousand TJS)</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b/>
                <w:bCs/>
                <w:sz w:val="20"/>
                <w:szCs w:val="20"/>
                <w:lang w:val="en-US" w:eastAsia="ru-RU"/>
              </w:rPr>
            </w:pP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125 065</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Капитал 1-го уровня (</w:t>
            </w:r>
            <w:proofErr w:type="spellStart"/>
            <w:r w:rsidRPr="00026244">
              <w:rPr>
                <w:rFonts w:ascii="Palatino Linotype" w:hAnsi="Palatino Linotype" w:cs="Arial CYR"/>
                <w:sz w:val="20"/>
                <w:szCs w:val="20"/>
                <w:lang w:eastAsia="ru-RU"/>
              </w:rPr>
              <w:t>тыс.TJS</w:t>
            </w:r>
            <w:proofErr w:type="spellEnd"/>
            <w:r w:rsidRPr="00026244">
              <w:rPr>
                <w:rFonts w:ascii="Palatino Linotype" w:hAnsi="Palatino Linotype" w:cs="Arial CYR"/>
                <w:sz w:val="20"/>
                <w:szCs w:val="20"/>
                <w:lang w:eastAsia="ru-RU"/>
              </w:rPr>
              <w:t>)</w:t>
            </w:r>
          </w:p>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 xml:space="preserve">TIER 1 </w:t>
            </w:r>
            <w:proofErr w:type="spellStart"/>
            <w:r w:rsidRPr="00026244">
              <w:rPr>
                <w:rFonts w:ascii="Palatino Linotype" w:hAnsi="Palatino Linotype" w:cs="Arial CYR"/>
                <w:sz w:val="20"/>
                <w:szCs w:val="20"/>
                <w:lang w:eastAsia="ru-RU"/>
              </w:rPr>
              <w:t>Capital</w:t>
            </w:r>
            <w:proofErr w:type="spellEnd"/>
            <w:r w:rsidRPr="00026244">
              <w:rPr>
                <w:rFonts w:ascii="Palatino Linotype" w:hAnsi="Palatino Linotype" w:cs="Arial CYR"/>
                <w:sz w:val="20"/>
                <w:szCs w:val="20"/>
                <w:lang w:eastAsia="ru-RU"/>
              </w:rPr>
              <w:t xml:space="preserve"> </w:t>
            </w:r>
            <w:proofErr w:type="gramStart"/>
            <w:r w:rsidRPr="00026244">
              <w:rPr>
                <w:rFonts w:ascii="Palatino Linotype" w:hAnsi="Palatino Linotype" w:cs="Arial CYR"/>
                <w:sz w:val="20"/>
                <w:szCs w:val="20"/>
                <w:lang w:eastAsia="ru-RU"/>
              </w:rPr>
              <w:t xml:space="preserve">( </w:t>
            </w:r>
            <w:proofErr w:type="spellStart"/>
            <w:proofErr w:type="gramEnd"/>
            <w:r w:rsidRPr="00026244">
              <w:rPr>
                <w:rFonts w:ascii="Palatino Linotype" w:hAnsi="Palatino Linotype" w:cs="Arial CYR"/>
                <w:sz w:val="20"/>
                <w:szCs w:val="20"/>
                <w:lang w:eastAsia="ru-RU"/>
              </w:rPr>
              <w:t>thousand</w:t>
            </w:r>
            <w:proofErr w:type="spellEnd"/>
            <w:r w:rsidRPr="00026244">
              <w:rPr>
                <w:rFonts w:ascii="Palatino Linotype" w:hAnsi="Palatino Linotype" w:cs="Arial CYR"/>
                <w:sz w:val="20"/>
                <w:szCs w:val="20"/>
                <w:lang w:eastAsia="ru-RU"/>
              </w:rPr>
              <w:t xml:space="preserve"> TJS)</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b/>
                <w:bCs/>
                <w:sz w:val="20"/>
                <w:szCs w:val="20"/>
                <w:lang w:eastAsia="ru-RU"/>
              </w:rPr>
            </w:pP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 xml:space="preserve">  88 469</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Капитал 2-го уровня (</w:t>
            </w:r>
            <w:proofErr w:type="spellStart"/>
            <w:r w:rsidRPr="00026244">
              <w:rPr>
                <w:rFonts w:ascii="Palatino Linotype" w:hAnsi="Palatino Linotype" w:cs="Arial CYR"/>
                <w:sz w:val="20"/>
                <w:szCs w:val="20"/>
                <w:lang w:eastAsia="ru-RU"/>
              </w:rPr>
              <w:t>тыс.TJS</w:t>
            </w:r>
            <w:proofErr w:type="spellEnd"/>
            <w:r w:rsidRPr="00026244">
              <w:rPr>
                <w:rFonts w:ascii="Palatino Linotype" w:hAnsi="Palatino Linotype" w:cs="Arial CYR"/>
                <w:sz w:val="20"/>
                <w:szCs w:val="20"/>
                <w:lang w:eastAsia="ru-RU"/>
              </w:rPr>
              <w:t>)</w:t>
            </w:r>
          </w:p>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TIER 2 CAPITAL (</w:t>
            </w:r>
            <w:proofErr w:type="spellStart"/>
            <w:r w:rsidRPr="00026244">
              <w:rPr>
                <w:rFonts w:ascii="Palatino Linotype" w:hAnsi="Palatino Linotype" w:cs="Arial CYR"/>
                <w:sz w:val="20"/>
                <w:szCs w:val="20"/>
                <w:lang w:eastAsia="ru-RU"/>
              </w:rPr>
              <w:t>thousand</w:t>
            </w:r>
            <w:proofErr w:type="spellEnd"/>
            <w:r w:rsidRPr="00026244">
              <w:rPr>
                <w:rFonts w:ascii="Palatino Linotype" w:hAnsi="Palatino Linotype" w:cs="Arial CYR"/>
                <w:sz w:val="20"/>
                <w:szCs w:val="20"/>
                <w:lang w:eastAsia="ru-RU"/>
              </w:rPr>
              <w:t xml:space="preserve"> TJS)</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b/>
                <w:bCs/>
                <w:sz w:val="20"/>
                <w:szCs w:val="20"/>
                <w:lang w:eastAsia="ru-RU"/>
              </w:rPr>
            </w:pP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 xml:space="preserve">  37 113</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Норматив достаточности капитала (активы с учетом риска) К</w:t>
            </w:r>
            <w:proofErr w:type="gramStart"/>
            <w:r w:rsidRPr="00026244">
              <w:rPr>
                <w:rFonts w:ascii="Palatino Linotype" w:hAnsi="Palatino Linotype" w:cs="Arial CYR"/>
                <w:sz w:val="20"/>
                <w:szCs w:val="20"/>
                <w:lang w:eastAsia="ru-RU"/>
              </w:rPr>
              <w:t>1</w:t>
            </w:r>
            <w:proofErr w:type="gramEnd"/>
            <w:r w:rsidRPr="00026244">
              <w:rPr>
                <w:rFonts w:ascii="Palatino Linotype" w:hAnsi="Palatino Linotype" w:cs="Arial CYR"/>
                <w:sz w:val="20"/>
                <w:szCs w:val="20"/>
                <w:lang w:eastAsia="ru-RU"/>
              </w:rPr>
              <w:t>.1</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 xml:space="preserve">Capital adequacy ratio (assets  with allowance for risk) </w:t>
            </w:r>
            <w:r w:rsidRPr="00026244">
              <w:rPr>
                <w:rFonts w:ascii="Palatino Linotype" w:hAnsi="Palatino Linotype" w:cs="Arial CYR"/>
                <w:sz w:val="20"/>
                <w:szCs w:val="20"/>
                <w:lang w:eastAsia="ru-RU"/>
              </w:rPr>
              <w:t>К</w:t>
            </w:r>
            <w:r w:rsidRPr="00026244">
              <w:rPr>
                <w:rFonts w:ascii="Palatino Linotype" w:hAnsi="Palatino Linotype" w:cs="Arial CYR"/>
                <w:sz w:val="20"/>
                <w:szCs w:val="20"/>
                <w:lang w:val="en-US" w:eastAsia="ru-RU"/>
              </w:rPr>
              <w:t>1.1</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BA6FED"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eastAsia="ru-RU"/>
              </w:rPr>
              <w:t>Н</w:t>
            </w:r>
            <w:r w:rsidR="00766A11" w:rsidRPr="00026244">
              <w:rPr>
                <w:rFonts w:ascii="Palatino Linotype" w:hAnsi="Palatino Linotype"/>
                <w:sz w:val="20"/>
                <w:szCs w:val="20"/>
                <w:lang w:eastAsia="ru-RU"/>
              </w:rPr>
              <w:t>е</w:t>
            </w:r>
            <w:r>
              <w:rPr>
                <w:rFonts w:ascii="Palatino Linotype" w:hAnsi="Palatino Linotype"/>
                <w:sz w:val="20"/>
                <w:szCs w:val="20"/>
                <w:lang w:eastAsia="ru-RU"/>
              </w:rPr>
              <w:t xml:space="preserve"> </w:t>
            </w:r>
            <w:r w:rsidR="00766A11" w:rsidRPr="00026244">
              <w:rPr>
                <w:rFonts w:ascii="Palatino Linotype" w:hAnsi="Palatino Linotype"/>
                <w:sz w:val="20"/>
                <w:szCs w:val="20"/>
                <w:lang w:eastAsia="ru-RU"/>
              </w:rPr>
              <w:t>менее</w:t>
            </w:r>
            <w:r w:rsidR="00766A11" w:rsidRPr="00026244">
              <w:rPr>
                <w:rFonts w:ascii="Palatino Linotype" w:hAnsi="Palatino Linotype"/>
                <w:sz w:val="20"/>
                <w:szCs w:val="20"/>
                <w:lang w:val="en-US" w:eastAsia="ru-RU"/>
              </w:rPr>
              <w:t xml:space="preserve"> 12%</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no less than 12%</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20,21</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Норматив достаточности капитала (всего активы) К</w:t>
            </w:r>
            <w:proofErr w:type="gramStart"/>
            <w:r w:rsidRPr="00026244">
              <w:rPr>
                <w:rFonts w:ascii="Palatino Linotype" w:hAnsi="Palatino Linotype" w:cs="Arial CYR"/>
                <w:sz w:val="20"/>
                <w:szCs w:val="20"/>
                <w:lang w:eastAsia="ru-RU"/>
              </w:rPr>
              <w:t>1</w:t>
            </w:r>
            <w:proofErr w:type="gramEnd"/>
            <w:r w:rsidRPr="00026244">
              <w:rPr>
                <w:rFonts w:ascii="Palatino Linotype" w:hAnsi="Palatino Linotype" w:cs="Arial CYR"/>
                <w:sz w:val="20"/>
                <w:szCs w:val="20"/>
                <w:lang w:eastAsia="ru-RU"/>
              </w:rPr>
              <w:t>.2</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 xml:space="preserve">Capital adequacy ratio  (total assets) </w:t>
            </w:r>
            <w:r w:rsidRPr="00026244">
              <w:rPr>
                <w:rFonts w:ascii="Palatino Linotype" w:hAnsi="Palatino Linotype" w:cs="Arial CYR"/>
                <w:sz w:val="20"/>
                <w:szCs w:val="20"/>
                <w:lang w:eastAsia="ru-RU"/>
              </w:rPr>
              <w:t>К</w:t>
            </w:r>
            <w:r w:rsidRPr="00026244">
              <w:rPr>
                <w:rFonts w:ascii="Palatino Linotype" w:hAnsi="Palatino Linotype" w:cs="Arial CYR"/>
                <w:sz w:val="20"/>
                <w:szCs w:val="20"/>
                <w:lang w:val="en-US" w:eastAsia="ru-RU"/>
              </w:rPr>
              <w:t>1.2</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BA6FED"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eastAsia="ru-RU"/>
              </w:rPr>
              <w:t>Н</w:t>
            </w:r>
            <w:r w:rsidR="00766A11" w:rsidRPr="00026244">
              <w:rPr>
                <w:rFonts w:ascii="Palatino Linotype" w:hAnsi="Palatino Linotype"/>
                <w:sz w:val="20"/>
                <w:szCs w:val="20"/>
                <w:lang w:eastAsia="ru-RU"/>
              </w:rPr>
              <w:t>е</w:t>
            </w:r>
            <w:r w:rsidRPr="00BA6FED">
              <w:rPr>
                <w:rFonts w:ascii="Palatino Linotype" w:hAnsi="Palatino Linotype"/>
                <w:sz w:val="20"/>
                <w:szCs w:val="20"/>
                <w:lang w:val="en-US" w:eastAsia="ru-RU"/>
              </w:rPr>
              <w:t xml:space="preserve"> </w:t>
            </w:r>
            <w:r w:rsidR="00766A11" w:rsidRPr="00026244">
              <w:rPr>
                <w:rFonts w:ascii="Palatino Linotype" w:hAnsi="Palatino Linotype"/>
                <w:sz w:val="20"/>
                <w:szCs w:val="20"/>
                <w:lang w:eastAsia="ru-RU"/>
              </w:rPr>
              <w:t>менее</w:t>
            </w:r>
            <w:r w:rsidR="00766A11" w:rsidRPr="00026244">
              <w:rPr>
                <w:rFonts w:ascii="Palatino Linotype" w:hAnsi="Palatino Linotype"/>
                <w:sz w:val="20"/>
                <w:szCs w:val="20"/>
                <w:lang w:val="en-US" w:eastAsia="ru-RU"/>
              </w:rPr>
              <w:t xml:space="preserve"> 10%</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no less than 10%</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12,1</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Норматив текущей ликвидности К</w:t>
            </w:r>
            <w:proofErr w:type="gramStart"/>
            <w:r w:rsidRPr="00026244">
              <w:rPr>
                <w:rFonts w:ascii="Palatino Linotype" w:hAnsi="Palatino Linotype" w:cs="Arial CYR"/>
                <w:sz w:val="20"/>
                <w:szCs w:val="20"/>
                <w:lang w:eastAsia="ru-RU"/>
              </w:rPr>
              <w:t>2</w:t>
            </w:r>
            <w:proofErr w:type="gramEnd"/>
            <w:r w:rsidRPr="00026244">
              <w:rPr>
                <w:rFonts w:ascii="Palatino Linotype" w:hAnsi="Palatino Linotype" w:cs="Arial CYR"/>
                <w:sz w:val="20"/>
                <w:szCs w:val="20"/>
                <w:lang w:eastAsia="ru-RU"/>
              </w:rPr>
              <w:t>.1</w:t>
            </w:r>
          </w:p>
          <w:p w:rsidR="00766A11" w:rsidRPr="00026244" w:rsidRDefault="00766A11" w:rsidP="00766A11">
            <w:pPr>
              <w:spacing w:after="0" w:line="240" w:lineRule="auto"/>
              <w:rPr>
                <w:rFonts w:ascii="Palatino Linotype" w:hAnsi="Palatino Linotype" w:cs="Arial CYR"/>
                <w:sz w:val="20"/>
                <w:szCs w:val="20"/>
                <w:lang w:eastAsia="ru-RU"/>
              </w:rPr>
            </w:pPr>
            <w:proofErr w:type="spellStart"/>
            <w:r w:rsidRPr="00026244">
              <w:rPr>
                <w:rFonts w:ascii="Palatino Linotype" w:hAnsi="Palatino Linotype" w:cs="Arial CYR"/>
                <w:sz w:val="20"/>
                <w:szCs w:val="20"/>
                <w:lang w:eastAsia="ru-RU"/>
              </w:rPr>
              <w:t>Currentliquidityratio</w:t>
            </w:r>
            <w:proofErr w:type="spellEnd"/>
            <w:r w:rsidRPr="00026244">
              <w:rPr>
                <w:rFonts w:ascii="Palatino Linotype" w:hAnsi="Palatino Linotype" w:cs="Arial CYR"/>
                <w:sz w:val="20"/>
                <w:szCs w:val="20"/>
                <w:lang w:eastAsia="ru-RU"/>
              </w:rPr>
              <w:t xml:space="preserve"> К</w:t>
            </w:r>
            <w:proofErr w:type="gramStart"/>
            <w:r w:rsidRPr="00026244">
              <w:rPr>
                <w:rFonts w:ascii="Palatino Linotype" w:hAnsi="Palatino Linotype" w:cs="Arial CYR"/>
                <w:sz w:val="20"/>
                <w:szCs w:val="20"/>
                <w:lang w:eastAsia="ru-RU"/>
              </w:rPr>
              <w:t>2</w:t>
            </w:r>
            <w:proofErr w:type="gramEnd"/>
            <w:r w:rsidRPr="00026244">
              <w:rPr>
                <w:rFonts w:ascii="Palatino Linotype" w:hAnsi="Palatino Linotype" w:cs="Arial CYR"/>
                <w:sz w:val="20"/>
                <w:szCs w:val="20"/>
                <w:lang w:eastAsia="ru-RU"/>
              </w:rPr>
              <w:t>.1</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BA6FED"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eastAsia="ru-RU"/>
              </w:rPr>
              <w:t>Н</w:t>
            </w:r>
            <w:r w:rsidR="00766A11" w:rsidRPr="00026244">
              <w:rPr>
                <w:rFonts w:ascii="Palatino Linotype" w:hAnsi="Palatino Linotype"/>
                <w:sz w:val="20"/>
                <w:szCs w:val="20"/>
                <w:lang w:eastAsia="ru-RU"/>
              </w:rPr>
              <w:t>е</w:t>
            </w:r>
            <w:r w:rsidRPr="00BA6FED">
              <w:rPr>
                <w:rFonts w:ascii="Palatino Linotype" w:hAnsi="Palatino Linotype"/>
                <w:sz w:val="20"/>
                <w:szCs w:val="20"/>
                <w:lang w:val="en-US" w:eastAsia="ru-RU"/>
              </w:rPr>
              <w:t xml:space="preserve"> </w:t>
            </w:r>
            <w:r w:rsidR="00766A11" w:rsidRPr="00026244">
              <w:rPr>
                <w:rFonts w:ascii="Palatino Linotype" w:hAnsi="Palatino Linotype"/>
                <w:sz w:val="20"/>
                <w:szCs w:val="20"/>
                <w:lang w:eastAsia="ru-RU"/>
              </w:rPr>
              <w:t>менее</w:t>
            </w:r>
            <w:r w:rsidR="00766A11" w:rsidRPr="00026244">
              <w:rPr>
                <w:rFonts w:ascii="Palatino Linotype" w:hAnsi="Palatino Linotype"/>
                <w:sz w:val="20"/>
                <w:szCs w:val="20"/>
                <w:lang w:val="en-US" w:eastAsia="ru-RU"/>
              </w:rPr>
              <w:t xml:space="preserve"> 30%</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no less than 30%</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113,98</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Максимальный размер риска на одного заёмщика или группе заёмщиков К3.1</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 xml:space="preserve">Maximum risk level per single borrower or group of borrowers </w:t>
            </w:r>
            <w:r w:rsidRPr="00026244">
              <w:rPr>
                <w:rFonts w:ascii="Palatino Linotype" w:hAnsi="Palatino Linotype" w:cs="Arial CYR"/>
                <w:sz w:val="20"/>
                <w:szCs w:val="20"/>
                <w:lang w:eastAsia="ru-RU"/>
              </w:rPr>
              <w:t>К</w:t>
            </w:r>
            <w:r w:rsidRPr="00026244">
              <w:rPr>
                <w:rFonts w:ascii="Palatino Linotype" w:hAnsi="Palatino Linotype" w:cs="Arial CYR"/>
                <w:sz w:val="20"/>
                <w:szCs w:val="20"/>
                <w:lang w:val="en-US" w:eastAsia="ru-RU"/>
              </w:rPr>
              <w:t>3.1</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 </w:t>
            </w:r>
            <w:r w:rsidR="00BA6FED" w:rsidRPr="00026244">
              <w:rPr>
                <w:rFonts w:ascii="Palatino Linotype" w:hAnsi="Palatino Linotype"/>
                <w:sz w:val="20"/>
                <w:szCs w:val="20"/>
                <w:lang w:eastAsia="ru-RU"/>
              </w:rPr>
              <w:t>Н</w:t>
            </w:r>
            <w:r w:rsidRPr="00026244">
              <w:rPr>
                <w:rFonts w:ascii="Palatino Linotype" w:hAnsi="Palatino Linotype"/>
                <w:sz w:val="20"/>
                <w:szCs w:val="20"/>
                <w:lang w:eastAsia="ru-RU"/>
              </w:rPr>
              <w:t>е</w:t>
            </w:r>
            <w:r w:rsidR="00BA6FED" w:rsidRPr="00BA6FED">
              <w:rPr>
                <w:rFonts w:ascii="Palatino Linotype" w:hAnsi="Palatino Linotype"/>
                <w:sz w:val="20"/>
                <w:szCs w:val="20"/>
                <w:lang w:val="en-US" w:eastAsia="ru-RU"/>
              </w:rPr>
              <w:t xml:space="preserve"> </w:t>
            </w:r>
            <w:r w:rsidRPr="00026244">
              <w:rPr>
                <w:rFonts w:ascii="Palatino Linotype" w:hAnsi="Palatino Linotype"/>
                <w:sz w:val="20"/>
                <w:szCs w:val="20"/>
                <w:lang w:eastAsia="ru-RU"/>
              </w:rPr>
              <w:t>более</w:t>
            </w:r>
            <w:r w:rsidRPr="00026244">
              <w:rPr>
                <w:rFonts w:ascii="Palatino Linotype" w:hAnsi="Palatino Linotype"/>
                <w:sz w:val="20"/>
                <w:szCs w:val="20"/>
                <w:lang w:val="en-US" w:eastAsia="ru-RU"/>
              </w:rPr>
              <w:t xml:space="preserve"> 20%</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 no less than 20%</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0</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Максимальный размер крупных кредитных рисков К3.2</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 xml:space="preserve">Maximum risk level of largest exposures </w:t>
            </w:r>
            <w:r w:rsidRPr="00026244">
              <w:rPr>
                <w:rFonts w:ascii="Palatino Linotype" w:hAnsi="Palatino Linotype" w:cs="Arial CYR"/>
                <w:sz w:val="20"/>
                <w:szCs w:val="20"/>
                <w:lang w:eastAsia="ru-RU"/>
              </w:rPr>
              <w:t>К</w:t>
            </w:r>
            <w:r w:rsidRPr="00026244">
              <w:rPr>
                <w:rFonts w:ascii="Palatino Linotype" w:hAnsi="Palatino Linotype" w:cs="Arial CYR"/>
                <w:sz w:val="20"/>
                <w:szCs w:val="20"/>
                <w:lang w:val="en-US" w:eastAsia="ru-RU"/>
              </w:rPr>
              <w:t>3.2</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BA6FED"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eastAsia="ru-RU"/>
              </w:rPr>
              <w:t>Н</w:t>
            </w:r>
            <w:r w:rsidR="00766A11" w:rsidRPr="00026244">
              <w:rPr>
                <w:rFonts w:ascii="Palatino Linotype" w:hAnsi="Palatino Linotype"/>
                <w:sz w:val="20"/>
                <w:szCs w:val="20"/>
                <w:lang w:eastAsia="ru-RU"/>
              </w:rPr>
              <w:t>е</w:t>
            </w:r>
            <w:r>
              <w:rPr>
                <w:rFonts w:ascii="Palatino Linotype" w:hAnsi="Palatino Linotype"/>
                <w:sz w:val="20"/>
                <w:szCs w:val="20"/>
                <w:lang w:eastAsia="ru-RU"/>
              </w:rPr>
              <w:t xml:space="preserve"> </w:t>
            </w:r>
            <w:r w:rsidR="00766A11" w:rsidRPr="00026244">
              <w:rPr>
                <w:rFonts w:ascii="Palatino Linotype" w:hAnsi="Palatino Linotype"/>
                <w:sz w:val="20"/>
                <w:szCs w:val="20"/>
                <w:lang w:eastAsia="ru-RU"/>
              </w:rPr>
              <w:t>более</w:t>
            </w:r>
            <w:r w:rsidR="00766A11" w:rsidRPr="00026244">
              <w:rPr>
                <w:rFonts w:ascii="Palatino Linotype" w:hAnsi="Palatino Linotype"/>
                <w:sz w:val="20"/>
                <w:szCs w:val="20"/>
                <w:lang w:val="en-US" w:eastAsia="ru-RU"/>
              </w:rPr>
              <w:t xml:space="preserve"> 3 </w:t>
            </w:r>
            <w:r w:rsidR="00766A11" w:rsidRPr="00026244">
              <w:rPr>
                <w:rFonts w:ascii="Palatino Linotype" w:hAnsi="Palatino Linotype"/>
                <w:sz w:val="20"/>
                <w:szCs w:val="20"/>
                <w:lang w:eastAsia="ru-RU"/>
              </w:rPr>
              <w:t>раз</w:t>
            </w:r>
            <w:r w:rsidR="005441AE">
              <w:rPr>
                <w:rFonts w:ascii="Palatino Linotype" w:hAnsi="Palatino Linotype"/>
                <w:sz w:val="20"/>
                <w:szCs w:val="20"/>
                <w:lang w:eastAsia="ru-RU"/>
              </w:rPr>
              <w:t xml:space="preserve">а </w:t>
            </w:r>
            <w:r w:rsidR="00766A11" w:rsidRPr="00026244">
              <w:rPr>
                <w:rFonts w:ascii="Palatino Linotype" w:hAnsi="Palatino Linotype"/>
                <w:sz w:val="20"/>
                <w:szCs w:val="20"/>
                <w:lang w:eastAsia="ru-RU"/>
              </w:rPr>
              <w:t>регулятивного</w:t>
            </w:r>
            <w:r w:rsidR="005441AE">
              <w:rPr>
                <w:rFonts w:ascii="Palatino Linotype" w:hAnsi="Palatino Linotype"/>
                <w:sz w:val="20"/>
                <w:szCs w:val="20"/>
                <w:lang w:eastAsia="ru-RU"/>
              </w:rPr>
              <w:t xml:space="preserve"> </w:t>
            </w:r>
            <w:r w:rsidR="00766A11" w:rsidRPr="00026244">
              <w:rPr>
                <w:rFonts w:ascii="Palatino Linotype" w:hAnsi="Palatino Linotype"/>
                <w:sz w:val="20"/>
                <w:szCs w:val="20"/>
                <w:lang w:eastAsia="ru-RU"/>
              </w:rPr>
              <w:t>капитала</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no more than 3 times of regulatory capital</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0</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Максимальный размер ссуд, гарантий и поручительств выданных банком своим инсайдерам К</w:t>
            </w:r>
            <w:proofErr w:type="gramStart"/>
            <w:r w:rsidRPr="00026244">
              <w:rPr>
                <w:rFonts w:ascii="Palatino Linotype" w:hAnsi="Palatino Linotype" w:cs="Arial CYR"/>
                <w:sz w:val="20"/>
                <w:szCs w:val="20"/>
                <w:lang w:eastAsia="ru-RU"/>
              </w:rPr>
              <w:t>4</w:t>
            </w:r>
            <w:proofErr w:type="gramEnd"/>
            <w:r w:rsidRPr="00026244">
              <w:rPr>
                <w:rFonts w:ascii="Palatino Linotype" w:hAnsi="Palatino Linotype" w:cs="Arial CYR"/>
                <w:sz w:val="20"/>
                <w:szCs w:val="20"/>
                <w:lang w:eastAsia="ru-RU"/>
              </w:rPr>
              <w:t>.1</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 xml:space="preserve">Maximum amount of loans, guarantees and warranties given to insiders </w:t>
            </w:r>
            <w:r w:rsidRPr="00026244">
              <w:rPr>
                <w:rFonts w:ascii="Palatino Linotype" w:hAnsi="Palatino Linotype" w:cs="Arial CYR"/>
                <w:sz w:val="20"/>
                <w:szCs w:val="20"/>
                <w:lang w:eastAsia="ru-RU"/>
              </w:rPr>
              <w:t>К</w:t>
            </w:r>
            <w:r w:rsidRPr="00026244">
              <w:rPr>
                <w:rFonts w:ascii="Palatino Linotype" w:hAnsi="Palatino Linotype" w:cs="Arial CYR"/>
                <w:sz w:val="20"/>
                <w:szCs w:val="20"/>
                <w:lang w:val="en-US" w:eastAsia="ru-RU"/>
              </w:rPr>
              <w:t>4.1</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 </w:t>
            </w:r>
          </w:p>
          <w:p w:rsidR="00766A11" w:rsidRPr="00026244" w:rsidRDefault="005441AE"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eastAsia="ru-RU"/>
              </w:rPr>
              <w:t>Н</w:t>
            </w:r>
            <w:r w:rsidR="00766A11" w:rsidRPr="00026244">
              <w:rPr>
                <w:rFonts w:ascii="Palatino Linotype" w:hAnsi="Palatino Linotype"/>
                <w:sz w:val="20"/>
                <w:szCs w:val="20"/>
                <w:lang w:eastAsia="ru-RU"/>
              </w:rPr>
              <w:t>е</w:t>
            </w:r>
            <w:r w:rsidRPr="005441AE">
              <w:rPr>
                <w:rFonts w:ascii="Palatino Linotype" w:hAnsi="Palatino Linotype"/>
                <w:sz w:val="20"/>
                <w:szCs w:val="20"/>
                <w:lang w:val="en-US" w:eastAsia="ru-RU"/>
              </w:rPr>
              <w:t xml:space="preserve"> </w:t>
            </w:r>
            <w:r w:rsidR="00766A11" w:rsidRPr="00026244">
              <w:rPr>
                <w:rFonts w:ascii="Palatino Linotype" w:hAnsi="Palatino Linotype"/>
                <w:sz w:val="20"/>
                <w:szCs w:val="20"/>
                <w:lang w:eastAsia="ru-RU"/>
              </w:rPr>
              <w:t>более</w:t>
            </w:r>
            <w:r w:rsidR="00766A11" w:rsidRPr="00026244">
              <w:rPr>
                <w:rFonts w:ascii="Palatino Linotype" w:hAnsi="Palatino Linotype"/>
                <w:sz w:val="20"/>
                <w:szCs w:val="20"/>
                <w:lang w:val="en-US" w:eastAsia="ru-RU"/>
              </w:rPr>
              <w:t xml:space="preserve"> 2%</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no more than 2%</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val="en-US" w:eastAsia="ru-RU"/>
              </w:rPr>
            </w:pPr>
          </w:p>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0,77</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Совокупная величина выданных инсайдерам ссуды К</w:t>
            </w:r>
            <w:proofErr w:type="gramStart"/>
            <w:r w:rsidRPr="00026244">
              <w:rPr>
                <w:rFonts w:ascii="Palatino Linotype" w:hAnsi="Palatino Linotype" w:cs="Arial CYR"/>
                <w:sz w:val="20"/>
                <w:szCs w:val="20"/>
                <w:lang w:eastAsia="ru-RU"/>
              </w:rPr>
              <w:t>4</w:t>
            </w:r>
            <w:proofErr w:type="gramEnd"/>
            <w:r w:rsidRPr="00026244">
              <w:rPr>
                <w:rFonts w:ascii="Palatino Linotype" w:hAnsi="Palatino Linotype" w:cs="Arial CYR"/>
                <w:sz w:val="20"/>
                <w:szCs w:val="20"/>
                <w:lang w:eastAsia="ru-RU"/>
              </w:rPr>
              <w:t>.2</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 xml:space="preserve">Aggregate amount of loans given to insiders </w:t>
            </w:r>
            <w:r w:rsidRPr="00026244">
              <w:rPr>
                <w:rFonts w:ascii="Palatino Linotype" w:hAnsi="Palatino Linotype" w:cs="Arial CYR"/>
                <w:sz w:val="20"/>
                <w:szCs w:val="20"/>
                <w:lang w:eastAsia="ru-RU"/>
              </w:rPr>
              <w:t>К</w:t>
            </w:r>
            <w:r w:rsidRPr="00026244">
              <w:rPr>
                <w:rFonts w:ascii="Palatino Linotype" w:hAnsi="Palatino Linotype" w:cs="Arial CYR"/>
                <w:sz w:val="20"/>
                <w:szCs w:val="20"/>
                <w:lang w:val="en-US" w:eastAsia="ru-RU"/>
              </w:rPr>
              <w:t>4.2</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 </w:t>
            </w:r>
            <w:r w:rsidR="005441AE" w:rsidRPr="00026244">
              <w:rPr>
                <w:rFonts w:ascii="Palatino Linotype" w:hAnsi="Palatino Linotype"/>
                <w:sz w:val="20"/>
                <w:szCs w:val="20"/>
                <w:lang w:eastAsia="ru-RU"/>
              </w:rPr>
              <w:t>Н</w:t>
            </w:r>
            <w:r w:rsidRPr="00026244">
              <w:rPr>
                <w:rFonts w:ascii="Palatino Linotype" w:hAnsi="Palatino Linotype"/>
                <w:sz w:val="20"/>
                <w:szCs w:val="20"/>
                <w:lang w:eastAsia="ru-RU"/>
              </w:rPr>
              <w:t>е</w:t>
            </w:r>
            <w:r w:rsidR="005441AE" w:rsidRPr="005441AE">
              <w:rPr>
                <w:rFonts w:ascii="Palatino Linotype" w:hAnsi="Palatino Linotype"/>
                <w:sz w:val="20"/>
                <w:szCs w:val="20"/>
                <w:lang w:val="en-US" w:eastAsia="ru-RU"/>
              </w:rPr>
              <w:t xml:space="preserve"> </w:t>
            </w:r>
            <w:r w:rsidRPr="00026244">
              <w:rPr>
                <w:rFonts w:ascii="Palatino Linotype" w:hAnsi="Palatino Linotype"/>
                <w:sz w:val="20"/>
                <w:szCs w:val="20"/>
                <w:lang w:eastAsia="ru-RU"/>
              </w:rPr>
              <w:t>более</w:t>
            </w:r>
            <w:r w:rsidRPr="00026244">
              <w:rPr>
                <w:rFonts w:ascii="Palatino Linotype" w:hAnsi="Palatino Linotype"/>
                <w:sz w:val="20"/>
                <w:szCs w:val="20"/>
                <w:lang w:val="en-US" w:eastAsia="ru-RU"/>
              </w:rPr>
              <w:t xml:space="preserve"> 10%</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 no more than 10%</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1,48</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eastAsia="ru-RU"/>
              </w:rPr>
            </w:pPr>
            <w:r w:rsidRPr="00026244">
              <w:rPr>
                <w:rFonts w:ascii="Palatino Linotype" w:hAnsi="Palatino Linotype" w:cs="Arial CYR"/>
                <w:sz w:val="20"/>
                <w:szCs w:val="20"/>
                <w:lang w:eastAsia="ru-RU"/>
              </w:rPr>
              <w:t>Норматив использования собственных средств банка для приобретения акции других юридических лиц К5</w:t>
            </w:r>
          </w:p>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 xml:space="preserve">Standard for usage of own bank’s funds for other legal entities shares purchase </w:t>
            </w:r>
            <w:r w:rsidRPr="00026244">
              <w:rPr>
                <w:rFonts w:ascii="Palatino Linotype" w:hAnsi="Palatino Linotype" w:cs="Arial CYR"/>
                <w:sz w:val="20"/>
                <w:szCs w:val="20"/>
                <w:lang w:eastAsia="ru-RU"/>
              </w:rPr>
              <w:t>К</w:t>
            </w:r>
            <w:r w:rsidRPr="00026244">
              <w:rPr>
                <w:rFonts w:ascii="Palatino Linotype" w:hAnsi="Palatino Linotype" w:cs="Arial CYR"/>
                <w:sz w:val="20"/>
                <w:szCs w:val="20"/>
                <w:lang w:val="en-US" w:eastAsia="ru-RU"/>
              </w:rPr>
              <w:t>5</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 </w:t>
            </w:r>
            <w:r w:rsidR="005441AE" w:rsidRPr="00026244">
              <w:rPr>
                <w:rFonts w:ascii="Palatino Linotype" w:hAnsi="Palatino Linotype"/>
                <w:sz w:val="20"/>
                <w:szCs w:val="20"/>
                <w:lang w:eastAsia="ru-RU"/>
              </w:rPr>
              <w:t>Н</w:t>
            </w:r>
            <w:r w:rsidRPr="00026244">
              <w:rPr>
                <w:rFonts w:ascii="Palatino Linotype" w:hAnsi="Palatino Linotype"/>
                <w:sz w:val="20"/>
                <w:szCs w:val="20"/>
                <w:lang w:eastAsia="ru-RU"/>
              </w:rPr>
              <w:t>е</w:t>
            </w:r>
            <w:r w:rsidR="005441AE" w:rsidRPr="005441AE">
              <w:rPr>
                <w:rFonts w:ascii="Palatino Linotype" w:hAnsi="Palatino Linotype"/>
                <w:sz w:val="20"/>
                <w:szCs w:val="20"/>
                <w:lang w:val="en-US" w:eastAsia="ru-RU"/>
              </w:rPr>
              <w:t xml:space="preserve"> </w:t>
            </w:r>
            <w:r w:rsidRPr="00026244">
              <w:rPr>
                <w:rFonts w:ascii="Palatino Linotype" w:hAnsi="Palatino Linotype"/>
                <w:sz w:val="20"/>
                <w:szCs w:val="20"/>
                <w:lang w:eastAsia="ru-RU"/>
              </w:rPr>
              <w:t>более</w:t>
            </w:r>
            <w:r w:rsidRPr="00026244">
              <w:rPr>
                <w:rFonts w:ascii="Palatino Linotype" w:hAnsi="Palatino Linotype"/>
                <w:sz w:val="20"/>
                <w:szCs w:val="20"/>
                <w:lang w:val="en-US" w:eastAsia="ru-RU"/>
              </w:rPr>
              <w:t xml:space="preserve"> 10%</w:t>
            </w:r>
          </w:p>
          <w:p w:rsidR="00766A11" w:rsidRPr="00026244" w:rsidRDefault="00766A11" w:rsidP="00766A11">
            <w:pPr>
              <w:spacing w:after="0" w:line="240" w:lineRule="auto"/>
              <w:jc w:val="right"/>
              <w:rPr>
                <w:rFonts w:ascii="Palatino Linotype" w:hAnsi="Palatino Linotype"/>
                <w:sz w:val="20"/>
                <w:szCs w:val="20"/>
                <w:lang w:val="en-US" w:eastAsia="ru-RU"/>
              </w:rPr>
            </w:pPr>
            <w:r w:rsidRPr="00026244">
              <w:rPr>
                <w:rFonts w:ascii="Palatino Linotype" w:hAnsi="Palatino Linotype"/>
                <w:sz w:val="20"/>
                <w:szCs w:val="20"/>
                <w:lang w:val="en-US" w:eastAsia="ru-RU"/>
              </w:rPr>
              <w:t>no more than  10%</w:t>
            </w:r>
          </w:p>
        </w:tc>
        <w:tc>
          <w:tcPr>
            <w:tcW w:w="127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r w:rsidRPr="00026244">
              <w:rPr>
                <w:rFonts w:ascii="Palatino Linotype" w:hAnsi="Palatino Linotype" w:cs="Arial CYR"/>
                <w:sz w:val="20"/>
                <w:szCs w:val="20"/>
                <w:lang w:eastAsia="ru-RU"/>
              </w:rPr>
              <w:t>8,81</w:t>
            </w:r>
          </w:p>
        </w:tc>
      </w:tr>
      <w:tr w:rsidR="00766A11" w:rsidRPr="00026244" w:rsidTr="00766A11">
        <w:tc>
          <w:tcPr>
            <w:tcW w:w="5637"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ROA</w:t>
            </w:r>
          </w:p>
        </w:tc>
        <w:tc>
          <w:tcPr>
            <w:tcW w:w="2835" w:type="dxa"/>
            <w:tcBorders>
              <w:top w:val="single" w:sz="6" w:space="0" w:color="00B0F0"/>
              <w:left w:val="single" w:sz="6" w:space="0" w:color="00B0F0"/>
              <w:bottom w:val="single" w:sz="6"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p>
        </w:tc>
        <w:tc>
          <w:tcPr>
            <w:tcW w:w="1275" w:type="dxa"/>
            <w:tcBorders>
              <w:top w:val="single" w:sz="6" w:space="0" w:color="00B0F0"/>
              <w:left w:val="single" w:sz="6" w:space="0" w:color="00B0F0"/>
              <w:bottom w:val="single" w:sz="6" w:space="0" w:color="00B0F0"/>
              <w:right w:val="single" w:sz="6" w:space="0" w:color="00B0F0"/>
            </w:tcBorders>
            <w:vAlign w:val="bottom"/>
          </w:tcPr>
          <w:p w:rsidR="00766A11" w:rsidRPr="00026244" w:rsidRDefault="00766A11" w:rsidP="00766A11">
            <w:pPr>
              <w:pStyle w:val="a5"/>
              <w:jc w:val="right"/>
              <w:rPr>
                <w:rFonts w:ascii="Palatino Linotype" w:hAnsi="Palatino Linotype"/>
                <w:sz w:val="20"/>
                <w:szCs w:val="20"/>
                <w:lang w:val="en-US" w:eastAsia="ru-RU"/>
              </w:rPr>
            </w:pPr>
            <w:r w:rsidRPr="00026244">
              <w:rPr>
                <w:rFonts w:ascii="Palatino Linotype" w:hAnsi="Palatino Linotype"/>
                <w:sz w:val="20"/>
                <w:szCs w:val="20"/>
                <w:lang w:eastAsia="ru-RU"/>
              </w:rPr>
              <w:t>1,</w:t>
            </w:r>
            <w:r w:rsidRPr="00026244">
              <w:rPr>
                <w:rFonts w:ascii="Palatino Linotype" w:hAnsi="Palatino Linotype"/>
                <w:sz w:val="20"/>
                <w:szCs w:val="20"/>
                <w:lang w:val="en-US" w:eastAsia="ru-RU"/>
              </w:rPr>
              <w:t>3%</w:t>
            </w:r>
          </w:p>
        </w:tc>
      </w:tr>
      <w:tr w:rsidR="00766A11" w:rsidRPr="00026244" w:rsidTr="00766A11">
        <w:tc>
          <w:tcPr>
            <w:tcW w:w="5637" w:type="dxa"/>
            <w:tcBorders>
              <w:top w:val="single" w:sz="6" w:space="0" w:color="00B0F0"/>
              <w:left w:val="single" w:sz="6" w:space="0" w:color="00B0F0"/>
              <w:bottom w:val="single" w:sz="18" w:space="0" w:color="00B0F0"/>
              <w:right w:val="single" w:sz="6" w:space="0" w:color="00B0F0"/>
            </w:tcBorders>
            <w:vAlign w:val="center"/>
          </w:tcPr>
          <w:p w:rsidR="00766A11" w:rsidRPr="00026244" w:rsidRDefault="00766A11" w:rsidP="00766A11">
            <w:pPr>
              <w:spacing w:after="0" w:line="240" w:lineRule="auto"/>
              <w:rPr>
                <w:rFonts w:ascii="Palatino Linotype" w:hAnsi="Palatino Linotype" w:cs="Arial CYR"/>
                <w:sz w:val="20"/>
                <w:szCs w:val="20"/>
                <w:lang w:val="en-US" w:eastAsia="ru-RU"/>
              </w:rPr>
            </w:pPr>
            <w:r w:rsidRPr="00026244">
              <w:rPr>
                <w:rFonts w:ascii="Palatino Linotype" w:hAnsi="Palatino Linotype" w:cs="Arial CYR"/>
                <w:sz w:val="20"/>
                <w:szCs w:val="20"/>
                <w:lang w:val="en-US" w:eastAsia="ru-RU"/>
              </w:rPr>
              <w:t>ROE</w:t>
            </w:r>
          </w:p>
        </w:tc>
        <w:tc>
          <w:tcPr>
            <w:tcW w:w="2835" w:type="dxa"/>
            <w:tcBorders>
              <w:top w:val="single" w:sz="6" w:space="0" w:color="00B0F0"/>
              <w:left w:val="single" w:sz="6" w:space="0" w:color="00B0F0"/>
              <w:bottom w:val="single" w:sz="18" w:space="0" w:color="00B0F0"/>
              <w:right w:val="single" w:sz="6" w:space="0" w:color="00B0F0"/>
            </w:tcBorders>
            <w:vAlign w:val="center"/>
          </w:tcPr>
          <w:p w:rsidR="00766A11" w:rsidRPr="00026244" w:rsidRDefault="00766A11" w:rsidP="00766A11">
            <w:pPr>
              <w:spacing w:after="0" w:line="240" w:lineRule="auto"/>
              <w:jc w:val="right"/>
              <w:rPr>
                <w:rFonts w:ascii="Palatino Linotype" w:hAnsi="Palatino Linotype" w:cs="Arial CYR"/>
                <w:sz w:val="20"/>
                <w:szCs w:val="20"/>
                <w:lang w:eastAsia="ru-RU"/>
              </w:rPr>
            </w:pPr>
          </w:p>
        </w:tc>
        <w:tc>
          <w:tcPr>
            <w:tcW w:w="1275" w:type="dxa"/>
            <w:tcBorders>
              <w:top w:val="single" w:sz="6" w:space="0" w:color="00B0F0"/>
              <w:left w:val="single" w:sz="6" w:space="0" w:color="00B0F0"/>
              <w:bottom w:val="single" w:sz="18" w:space="0" w:color="00B0F0"/>
              <w:right w:val="single" w:sz="6" w:space="0" w:color="00B0F0"/>
            </w:tcBorders>
            <w:vAlign w:val="bottom"/>
          </w:tcPr>
          <w:p w:rsidR="00766A11" w:rsidRPr="00026244" w:rsidRDefault="00766A11" w:rsidP="00766A11">
            <w:pPr>
              <w:pStyle w:val="a5"/>
              <w:jc w:val="right"/>
              <w:rPr>
                <w:rFonts w:ascii="Palatino Linotype" w:hAnsi="Palatino Linotype"/>
                <w:sz w:val="20"/>
                <w:szCs w:val="20"/>
                <w:lang w:val="en-US" w:eastAsia="ru-RU"/>
              </w:rPr>
            </w:pPr>
            <w:r w:rsidRPr="00026244">
              <w:rPr>
                <w:rFonts w:ascii="Palatino Linotype" w:hAnsi="Palatino Linotype"/>
                <w:sz w:val="20"/>
                <w:szCs w:val="20"/>
                <w:lang w:eastAsia="ru-RU"/>
              </w:rPr>
              <w:t>8,</w:t>
            </w:r>
            <w:r w:rsidRPr="00026244">
              <w:rPr>
                <w:rFonts w:ascii="Palatino Linotype" w:hAnsi="Palatino Linotype"/>
                <w:sz w:val="20"/>
                <w:szCs w:val="20"/>
                <w:lang w:val="en-US" w:eastAsia="ru-RU"/>
              </w:rPr>
              <w:t>1%</w:t>
            </w:r>
          </w:p>
        </w:tc>
      </w:tr>
    </w:tbl>
    <w:p w:rsidR="00766A11" w:rsidRPr="00026244" w:rsidRDefault="00766A11" w:rsidP="00766A11">
      <w:pPr>
        <w:spacing w:after="0"/>
        <w:jc w:val="center"/>
        <w:rPr>
          <w:rFonts w:ascii="Palatino Linotype" w:hAnsi="Palatino Linotype"/>
          <w:b/>
          <w:color w:val="8064A2" w:themeColor="accent4"/>
          <w:sz w:val="24"/>
          <w:szCs w:val="24"/>
          <w:lang w:val="en-US"/>
        </w:rPr>
      </w:pPr>
      <w:r w:rsidRPr="00026244">
        <w:rPr>
          <w:rFonts w:ascii="Palatino Linotype" w:hAnsi="Palatino Linotype"/>
          <w:b/>
          <w:color w:val="8064A2" w:themeColor="accent4"/>
          <w:sz w:val="24"/>
          <w:szCs w:val="24"/>
          <w:lang w:val="en-US"/>
        </w:rPr>
        <w:t>COMPLIANCE WITH PRUDENTIAL NORMS</w:t>
      </w:r>
    </w:p>
    <w:p w:rsidR="00766A11" w:rsidRPr="00026244" w:rsidRDefault="00766A11" w:rsidP="009F644F">
      <w:pPr>
        <w:spacing w:after="0"/>
        <w:jc w:val="both"/>
        <w:rPr>
          <w:rFonts w:ascii="Palatino Linotype" w:hAnsi="Palatino Linotype"/>
          <w:lang w:val="en-US"/>
        </w:rPr>
        <w:sectPr w:rsidR="00766A11" w:rsidRPr="00026244" w:rsidSect="00766A11">
          <w:type w:val="continuous"/>
          <w:pgSz w:w="11906" w:h="16838"/>
          <w:pgMar w:top="1134" w:right="850" w:bottom="993" w:left="1134" w:header="708" w:footer="708" w:gutter="0"/>
          <w:cols w:space="566"/>
          <w:docGrid w:linePitch="360"/>
        </w:sect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FB5F40" w:rsidRPr="00026244" w:rsidRDefault="00FB5F40" w:rsidP="00FA70E9">
      <w:pPr>
        <w:spacing w:after="0"/>
        <w:jc w:val="both"/>
        <w:rPr>
          <w:rFonts w:ascii="Palatino Linotype" w:hAnsi="Palatino Linotype"/>
          <w:sz w:val="24"/>
          <w:szCs w:val="24"/>
          <w:lang w:val="en-US"/>
        </w:rPr>
        <w:sectPr w:rsidR="00FB5F40" w:rsidRPr="00026244" w:rsidSect="00EF010A">
          <w:type w:val="continuous"/>
          <w:pgSz w:w="11906" w:h="16838"/>
          <w:pgMar w:top="1134" w:right="850" w:bottom="993" w:left="1134" w:header="708" w:footer="708" w:gutter="0"/>
          <w:cols w:num="2" w:space="566"/>
          <w:docGrid w:linePitch="360"/>
        </w:sectPr>
      </w:pPr>
    </w:p>
    <w:p w:rsidR="00FB5F40" w:rsidRPr="00026244" w:rsidRDefault="00FB5F40" w:rsidP="00533655">
      <w:pPr>
        <w:spacing w:after="0" w:line="240" w:lineRule="auto"/>
        <w:jc w:val="center"/>
        <w:rPr>
          <w:rFonts w:ascii="Palatino Linotype" w:hAnsi="Palatino Linotype" w:cs="Arial CYR"/>
          <w:bCs/>
          <w:lang w:eastAsia="ru-RU"/>
        </w:rPr>
      </w:pPr>
    </w:p>
    <w:p w:rsidR="00766A11" w:rsidRPr="00026244" w:rsidRDefault="00766A11" w:rsidP="00533655">
      <w:pPr>
        <w:spacing w:after="0" w:line="240" w:lineRule="auto"/>
        <w:jc w:val="center"/>
        <w:rPr>
          <w:rFonts w:ascii="Palatino Linotype" w:hAnsi="Palatino Linotype" w:cs="Arial CYR"/>
          <w:bCs/>
          <w:lang w:eastAsia="ru-RU"/>
        </w:rPr>
      </w:pPr>
    </w:p>
    <w:p w:rsidR="00766A11" w:rsidRPr="00026244" w:rsidRDefault="00766A11" w:rsidP="00533655">
      <w:pPr>
        <w:spacing w:after="0" w:line="240" w:lineRule="auto"/>
        <w:jc w:val="center"/>
        <w:rPr>
          <w:rFonts w:ascii="Palatino Linotype" w:hAnsi="Palatino Linotype" w:cs="Arial CYR"/>
          <w:bCs/>
          <w:lang w:eastAsia="ru-RU"/>
        </w:rPr>
      </w:pPr>
    </w:p>
    <w:p w:rsidR="00766A11" w:rsidRPr="00026244" w:rsidRDefault="00766A11" w:rsidP="00533655">
      <w:pPr>
        <w:spacing w:after="0" w:line="240" w:lineRule="auto"/>
        <w:jc w:val="center"/>
        <w:rPr>
          <w:rFonts w:ascii="Palatino Linotype" w:hAnsi="Palatino Linotype" w:cs="Arial CYR"/>
          <w:bCs/>
          <w:lang w:eastAsia="ru-RU"/>
        </w:rPr>
      </w:pPr>
    </w:p>
    <w:p w:rsidR="00766A11" w:rsidRPr="00026244" w:rsidRDefault="00766A11" w:rsidP="00533655">
      <w:pPr>
        <w:spacing w:after="0" w:line="240" w:lineRule="auto"/>
        <w:jc w:val="center"/>
        <w:rPr>
          <w:rFonts w:ascii="Palatino Linotype" w:hAnsi="Palatino Linotype" w:cs="Arial CYR"/>
          <w:bCs/>
          <w:lang w:eastAsia="ru-RU"/>
        </w:rPr>
      </w:pPr>
    </w:p>
    <w:p w:rsidR="00766A11" w:rsidRPr="00026244" w:rsidRDefault="00766A11" w:rsidP="00533655">
      <w:pPr>
        <w:spacing w:after="0" w:line="240" w:lineRule="auto"/>
        <w:jc w:val="center"/>
        <w:rPr>
          <w:rFonts w:ascii="Palatino Linotype" w:hAnsi="Palatino Linotype" w:cs="Arial CYR"/>
          <w:bCs/>
          <w:lang w:eastAsia="ru-RU"/>
        </w:rPr>
      </w:pPr>
    </w:p>
    <w:p w:rsidR="00766A11" w:rsidRPr="00026244" w:rsidRDefault="00766A11" w:rsidP="00533655">
      <w:pPr>
        <w:spacing w:after="0" w:line="240" w:lineRule="auto"/>
        <w:jc w:val="center"/>
        <w:rPr>
          <w:rFonts w:ascii="Palatino Linotype" w:hAnsi="Palatino Linotype" w:cs="Arial CYR"/>
          <w:bCs/>
          <w:lang w:eastAsia="ru-RU"/>
        </w:rPr>
      </w:pPr>
    </w:p>
    <w:p w:rsidR="00766A11" w:rsidRPr="00026244" w:rsidRDefault="00766A11" w:rsidP="00533655">
      <w:pPr>
        <w:spacing w:after="0" w:line="240" w:lineRule="auto"/>
        <w:jc w:val="center"/>
        <w:rPr>
          <w:rFonts w:ascii="Palatino Linotype" w:hAnsi="Palatino Linotype" w:cs="Arial CYR"/>
          <w:bCs/>
          <w:lang w:eastAsia="ru-RU"/>
        </w:rPr>
        <w:sectPr w:rsidR="00766A11" w:rsidRPr="00026244" w:rsidSect="00FA70E9">
          <w:type w:val="continuous"/>
          <w:pgSz w:w="11906" w:h="16838"/>
          <w:pgMar w:top="1134" w:right="850" w:bottom="993" w:left="1701" w:header="708" w:footer="708" w:gutter="0"/>
          <w:cols w:space="708"/>
          <w:docGrid w:linePitch="360"/>
        </w:sectPr>
      </w:pPr>
    </w:p>
    <w:p w:rsidR="00766A11" w:rsidRPr="00026244" w:rsidRDefault="00766A11" w:rsidP="00533655">
      <w:pPr>
        <w:spacing w:after="0" w:line="240" w:lineRule="auto"/>
        <w:jc w:val="center"/>
        <w:rPr>
          <w:rFonts w:ascii="Palatino Linotype" w:hAnsi="Palatino Linotype" w:cs="Arial CYR"/>
          <w:bCs/>
          <w:lang w:eastAsia="ru-RU"/>
        </w:rPr>
        <w:sectPr w:rsidR="00766A11" w:rsidRPr="00026244" w:rsidSect="00766A11">
          <w:type w:val="continuous"/>
          <w:pgSz w:w="11906" w:h="16838"/>
          <w:pgMar w:top="1134" w:right="850" w:bottom="993" w:left="1701" w:header="708" w:footer="708" w:gutter="0"/>
          <w:cols w:num="2" w:space="708"/>
          <w:docGrid w:linePitch="360"/>
        </w:sectPr>
      </w:pPr>
    </w:p>
    <w:p w:rsidR="00FB5F40" w:rsidRPr="00026244" w:rsidRDefault="00FB5F40" w:rsidP="00FA70E9">
      <w:pPr>
        <w:spacing w:after="0"/>
        <w:rPr>
          <w:rFonts w:ascii="Palatino Linotype" w:hAnsi="Palatino Linotype"/>
          <w:b/>
          <w:color w:val="006600"/>
          <w:sz w:val="24"/>
          <w:szCs w:val="24"/>
        </w:rPr>
      </w:pPr>
      <w:r w:rsidRPr="00026244">
        <w:rPr>
          <w:rFonts w:ascii="Palatino Linotype" w:hAnsi="Palatino Linotype"/>
          <w:b/>
          <w:color w:val="006600"/>
          <w:sz w:val="24"/>
          <w:szCs w:val="24"/>
        </w:rPr>
        <w:lastRenderedPageBreak/>
        <w:t>СОЦИАЛЬНАЯ ПОЛИТИКА БАНКА</w:t>
      </w:r>
    </w:p>
    <w:p w:rsidR="00FB5F40" w:rsidRPr="00026244" w:rsidRDefault="00FB5F40" w:rsidP="00FA70E9">
      <w:pPr>
        <w:spacing w:after="0"/>
        <w:jc w:val="both"/>
        <w:rPr>
          <w:rFonts w:ascii="Palatino Linotype" w:hAnsi="Palatino Linotype"/>
          <w:b/>
          <w:sz w:val="24"/>
          <w:szCs w:val="24"/>
        </w:rPr>
      </w:pPr>
    </w:p>
    <w:p w:rsidR="00FB5F40" w:rsidRPr="00026244" w:rsidRDefault="00FB5F40" w:rsidP="00FA70E9">
      <w:pPr>
        <w:spacing w:after="0"/>
        <w:ind w:firstLine="284"/>
        <w:jc w:val="both"/>
        <w:rPr>
          <w:rFonts w:ascii="Palatino Linotype" w:hAnsi="Palatino Linotype"/>
          <w:b/>
        </w:rPr>
      </w:pPr>
      <w:r w:rsidRPr="00026244">
        <w:rPr>
          <w:rFonts w:ascii="Palatino Linotype" w:hAnsi="Palatino Linotype"/>
        </w:rPr>
        <w:t>Сегодня Амонатбанк  позиционируя как универсальный коммерческий банк, ведущий розничный, корпоративный, инвестиционный бизнес, продолжает быть проводником социальной политики государства и оказывает услуги всем слоям населения республики.</w:t>
      </w:r>
    </w:p>
    <w:p w:rsidR="00766A11" w:rsidRPr="00026244" w:rsidRDefault="00FB5F40" w:rsidP="00766A11">
      <w:pPr>
        <w:spacing w:after="0"/>
        <w:ind w:firstLine="284"/>
        <w:jc w:val="both"/>
        <w:rPr>
          <w:rFonts w:ascii="Palatino Linotype" w:hAnsi="Palatino Linotype"/>
        </w:rPr>
      </w:pPr>
      <w:r w:rsidRPr="00026244">
        <w:rPr>
          <w:rFonts w:ascii="Palatino Linotype" w:hAnsi="Palatino Linotype"/>
        </w:rPr>
        <w:t xml:space="preserve"> Банк направляет свои усилия на обслуживание пенсионеров, бюджетных организаций, выплату компенсаций малоимущим семьям для покрытия </w:t>
      </w:r>
      <w:r w:rsidR="00766A11" w:rsidRPr="00026244">
        <w:rPr>
          <w:rFonts w:ascii="Palatino Linotype" w:hAnsi="Palatino Linotype"/>
        </w:rPr>
        <w:t xml:space="preserve">расходов за электричество и природный газ, выдачу льготных кредитов, прием коммунальных платежей и другие социальные выплаты. </w:t>
      </w:r>
    </w:p>
    <w:p w:rsidR="00766A11" w:rsidRPr="00026244" w:rsidRDefault="00766A11" w:rsidP="00766A11">
      <w:pPr>
        <w:spacing w:after="0"/>
        <w:ind w:firstLine="284"/>
        <w:jc w:val="both"/>
        <w:rPr>
          <w:rFonts w:ascii="Palatino Linotype" w:hAnsi="Palatino Linotype"/>
        </w:rPr>
      </w:pPr>
      <w:r w:rsidRPr="00026244">
        <w:rPr>
          <w:rFonts w:ascii="Palatino Linotype" w:hAnsi="Palatino Linotype"/>
        </w:rPr>
        <w:t>Разветвленная сеть  Банка позволяет обеспечить  население республики   всеми    услугами   банка   недалеко  от  места   жительства.</w:t>
      </w:r>
    </w:p>
    <w:p w:rsidR="00766A11" w:rsidRPr="00026244" w:rsidRDefault="00766A11" w:rsidP="00766A11">
      <w:pPr>
        <w:spacing w:after="0"/>
        <w:ind w:firstLine="284"/>
        <w:jc w:val="both"/>
        <w:rPr>
          <w:rFonts w:ascii="Palatino Linotype" w:hAnsi="Palatino Linotype"/>
        </w:rPr>
      </w:pPr>
      <w:r w:rsidRPr="00026244">
        <w:rPr>
          <w:rFonts w:ascii="Palatino Linotype" w:hAnsi="Palatino Linotype"/>
        </w:rPr>
        <w:t xml:space="preserve">В итоге на сегодняшний день Банк оказывает разнообразные услуги более чем 2 млн. населения, в </w:t>
      </w:r>
      <w:proofErr w:type="gramStart"/>
      <w:r w:rsidRPr="00026244">
        <w:rPr>
          <w:rFonts w:ascii="Palatino Linotype" w:hAnsi="Palatino Linotype"/>
        </w:rPr>
        <w:t>связи</w:t>
      </w:r>
      <w:proofErr w:type="gramEnd"/>
      <w:r w:rsidRPr="00026244">
        <w:rPr>
          <w:rFonts w:ascii="Palatino Linotype" w:hAnsi="Palatino Linotype"/>
        </w:rPr>
        <w:t xml:space="preserve"> с чем Амонатбанк признан  Народным банком  республики.</w:t>
      </w:r>
    </w:p>
    <w:p w:rsidR="00766A11" w:rsidRPr="00026244" w:rsidRDefault="00766A11" w:rsidP="00766A11">
      <w:pPr>
        <w:spacing w:after="0"/>
        <w:jc w:val="both"/>
        <w:rPr>
          <w:rFonts w:ascii="Palatino Linotype" w:hAnsi="Palatino Linotype"/>
          <w:b/>
          <w:i/>
          <w:sz w:val="28"/>
          <w:szCs w:val="28"/>
        </w:rPr>
      </w:pPr>
      <w:r w:rsidRPr="00026244">
        <w:rPr>
          <w:rFonts w:ascii="Palatino Linotype" w:hAnsi="Palatino Linotype"/>
          <w:b/>
          <w:i/>
          <w:sz w:val="28"/>
          <w:szCs w:val="28"/>
        </w:rPr>
        <w:t>Пенсионное обслуживание.</w:t>
      </w:r>
    </w:p>
    <w:p w:rsidR="00766A11" w:rsidRPr="00026244" w:rsidRDefault="00766A11" w:rsidP="00766A11">
      <w:pPr>
        <w:spacing w:after="0"/>
        <w:ind w:firstLine="567"/>
        <w:jc w:val="both"/>
        <w:rPr>
          <w:rFonts w:ascii="Palatino Linotype" w:hAnsi="Palatino Linotype"/>
        </w:rPr>
      </w:pPr>
      <w:r w:rsidRPr="00026244">
        <w:rPr>
          <w:rFonts w:ascii="Palatino Linotype" w:hAnsi="Palatino Linotype"/>
        </w:rPr>
        <w:t>С марта месяца 1997 года Постановлением Правительства Республики Таджикистан от 15 января 1997 года за №32 “О переводе пенсионных счетов граждан на обслуживание в учреждения сберегательного банка Республики Таджикистан” выплату пенсии пенсионерам начали осуществлять посредством филиалов Амонатбанка.</w:t>
      </w:r>
    </w:p>
    <w:p w:rsidR="00766A11" w:rsidRPr="00026244" w:rsidRDefault="00766A11" w:rsidP="00766A11">
      <w:pPr>
        <w:spacing w:after="0"/>
        <w:jc w:val="both"/>
        <w:rPr>
          <w:rFonts w:ascii="Palatino Linotype" w:hAnsi="Palatino Linotype"/>
        </w:rPr>
      </w:pPr>
      <w:r w:rsidRPr="00026244">
        <w:rPr>
          <w:rFonts w:ascii="Palatino Linotype" w:hAnsi="Palatino Linotype"/>
        </w:rPr>
        <w:t xml:space="preserve">По состоянию на 31 декабря 2011 года Банк оказывал услуги   554 451  пенсионерам социальной сферы с месячной потребностью </w:t>
      </w:r>
    </w:p>
    <w:p w:rsidR="00766A11" w:rsidRPr="00026244" w:rsidRDefault="00766A11" w:rsidP="00766A11">
      <w:pPr>
        <w:spacing w:after="0"/>
        <w:jc w:val="both"/>
        <w:rPr>
          <w:rFonts w:ascii="Palatino Linotype" w:hAnsi="Palatino Linotype"/>
          <w:lang w:val="en-US"/>
        </w:rPr>
      </w:pPr>
      <w:r w:rsidRPr="00026244">
        <w:rPr>
          <w:rFonts w:ascii="Palatino Linotype" w:hAnsi="Palatino Linotype"/>
        </w:rPr>
        <w:t xml:space="preserve">в сумме 83,7 млн. </w:t>
      </w:r>
      <w:proofErr w:type="spellStart"/>
      <w:r w:rsidRPr="00026244">
        <w:rPr>
          <w:rFonts w:ascii="Palatino Linotype" w:hAnsi="Palatino Linotype"/>
        </w:rPr>
        <w:t>сомони</w:t>
      </w:r>
      <w:proofErr w:type="spellEnd"/>
      <w:r w:rsidRPr="00026244">
        <w:rPr>
          <w:rFonts w:ascii="Palatino Linotype" w:hAnsi="Palatino Linotype"/>
        </w:rPr>
        <w:t xml:space="preserve"> и 17600 пенсионерам правоохранительных органов с месячной потребностью  </w:t>
      </w:r>
      <w:r w:rsidRPr="00026244">
        <w:rPr>
          <w:rFonts w:ascii="Palatino Linotype" w:hAnsi="Palatino Linotype"/>
          <w:lang w:val="en-US"/>
        </w:rPr>
        <w:t xml:space="preserve">9,2 </w:t>
      </w:r>
      <w:r w:rsidRPr="00026244">
        <w:rPr>
          <w:rFonts w:ascii="Palatino Linotype" w:hAnsi="Palatino Linotype"/>
        </w:rPr>
        <w:t>млн</w:t>
      </w:r>
      <w:r w:rsidRPr="00026244">
        <w:rPr>
          <w:rFonts w:ascii="Palatino Linotype" w:hAnsi="Palatino Linotype"/>
          <w:lang w:val="en-US"/>
        </w:rPr>
        <w:t xml:space="preserve">. </w:t>
      </w:r>
      <w:proofErr w:type="spellStart"/>
      <w:r w:rsidRPr="00026244">
        <w:rPr>
          <w:rFonts w:ascii="Palatino Linotype" w:hAnsi="Palatino Linotype"/>
        </w:rPr>
        <w:t>сомони</w:t>
      </w:r>
      <w:proofErr w:type="spellEnd"/>
      <w:r w:rsidRPr="00026244">
        <w:rPr>
          <w:rFonts w:ascii="Palatino Linotype" w:hAnsi="Palatino Linotype"/>
          <w:lang w:val="en-US"/>
        </w:rPr>
        <w:t>.</w:t>
      </w:r>
    </w:p>
    <w:p w:rsidR="00766A11" w:rsidRPr="00026244" w:rsidRDefault="00766A11" w:rsidP="00FA70E9">
      <w:pPr>
        <w:spacing w:after="0"/>
        <w:ind w:firstLine="284"/>
        <w:jc w:val="both"/>
        <w:rPr>
          <w:rFonts w:ascii="Palatino Linotype" w:hAnsi="Palatino Linotype"/>
          <w:b/>
          <w:color w:val="8064A2"/>
          <w:sz w:val="24"/>
          <w:szCs w:val="24"/>
          <w:lang w:val="en-US"/>
        </w:rPr>
      </w:pPr>
    </w:p>
    <w:p w:rsidR="00766A11" w:rsidRPr="00026244" w:rsidRDefault="00766A11" w:rsidP="00FA70E9">
      <w:pPr>
        <w:spacing w:after="0"/>
        <w:ind w:firstLine="284"/>
        <w:jc w:val="both"/>
        <w:rPr>
          <w:rFonts w:ascii="Palatino Linotype" w:hAnsi="Palatino Linotype"/>
          <w:color w:val="8064A2" w:themeColor="accent4"/>
          <w:lang w:val="en-US"/>
        </w:rPr>
      </w:pPr>
      <w:r w:rsidRPr="00026244">
        <w:rPr>
          <w:rFonts w:ascii="Palatino Linotype" w:hAnsi="Palatino Linotype"/>
          <w:b/>
          <w:color w:val="8064A2" w:themeColor="accent4"/>
          <w:sz w:val="24"/>
          <w:szCs w:val="24"/>
          <w:lang w:val="en-US"/>
        </w:rPr>
        <w:lastRenderedPageBreak/>
        <w:t>SOCIAL POLICY OF THE BANK</w:t>
      </w: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766A11">
      <w:pPr>
        <w:spacing w:after="0"/>
        <w:ind w:firstLine="426"/>
        <w:jc w:val="both"/>
        <w:rPr>
          <w:rFonts w:ascii="Palatino Linotype" w:hAnsi="Palatino Linotype"/>
          <w:b/>
          <w:lang w:val="en-US"/>
        </w:rPr>
      </w:pPr>
      <w:r w:rsidRPr="00026244">
        <w:rPr>
          <w:rFonts w:ascii="Palatino Linotype" w:hAnsi="Palatino Linotype"/>
          <w:lang w:val="en-US"/>
        </w:rPr>
        <w:t xml:space="preserve">To date </w:t>
      </w:r>
      <w:proofErr w:type="spellStart"/>
      <w:r w:rsidRPr="00026244">
        <w:rPr>
          <w:rFonts w:ascii="Palatino Linotype" w:hAnsi="Palatino Linotype"/>
          <w:lang w:val="en-US"/>
        </w:rPr>
        <w:t>Amonatb</w:t>
      </w:r>
      <w:r w:rsidR="005C660A" w:rsidRPr="00026244">
        <w:rPr>
          <w:rFonts w:ascii="Palatino Linotype" w:hAnsi="Palatino Linotype"/>
          <w:lang w:val="en-US"/>
        </w:rPr>
        <w:t>an</w:t>
      </w:r>
      <w:r w:rsidRPr="00026244">
        <w:rPr>
          <w:rFonts w:ascii="Palatino Linotype" w:hAnsi="Palatino Linotype"/>
          <w:lang w:val="en-US"/>
        </w:rPr>
        <w:t>k</w:t>
      </w:r>
      <w:proofErr w:type="spellEnd"/>
      <w:r w:rsidRPr="00026244">
        <w:rPr>
          <w:rFonts w:ascii="Palatino Linotype" w:hAnsi="Palatino Linotype"/>
          <w:lang w:val="en-US"/>
        </w:rPr>
        <w:t xml:space="preserve"> positioning as a multipurpose commercial bank which runs retail, corporate, investment business and  also continues to be a conductor of the social policy of the Government and renders its services to all segments of population of the country.</w:t>
      </w:r>
    </w:p>
    <w:p w:rsidR="00766A11" w:rsidRPr="00026244" w:rsidRDefault="00766A11" w:rsidP="00766A11">
      <w:pPr>
        <w:spacing w:after="0"/>
        <w:ind w:firstLine="426"/>
        <w:jc w:val="both"/>
        <w:rPr>
          <w:rFonts w:ascii="Palatino Linotype" w:hAnsi="Palatino Linotype"/>
          <w:lang w:val="en-US"/>
        </w:rPr>
      </w:pP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heads its efforts to serving pensioners, budget organizations, </w:t>
      </w:r>
      <w:proofErr w:type="gramStart"/>
      <w:r w:rsidRPr="00026244">
        <w:rPr>
          <w:rFonts w:ascii="Palatino Linotype" w:hAnsi="Palatino Linotype"/>
          <w:lang w:val="en-US"/>
        </w:rPr>
        <w:t>payment</w:t>
      </w:r>
      <w:proofErr w:type="gramEnd"/>
      <w:r w:rsidRPr="00026244">
        <w:rPr>
          <w:rFonts w:ascii="Palatino Linotype" w:hAnsi="Palatino Linotype"/>
          <w:lang w:val="en-US"/>
        </w:rPr>
        <w:t xml:space="preserve"> of compensations to the needy families for covering expenses on gas and electricity, crediting, collection of utility payments and payment of other social allowances. </w:t>
      </w:r>
    </w:p>
    <w:p w:rsidR="00766A11" w:rsidRPr="00026244" w:rsidRDefault="00766A11" w:rsidP="00766A11">
      <w:pPr>
        <w:spacing w:after="0"/>
        <w:ind w:firstLine="426"/>
        <w:jc w:val="both"/>
        <w:rPr>
          <w:rFonts w:ascii="Palatino Linotype" w:hAnsi="Palatino Linotype"/>
          <w:lang w:val="en-US"/>
        </w:rPr>
      </w:pPr>
      <w:r w:rsidRPr="00026244">
        <w:rPr>
          <w:rFonts w:ascii="Palatino Linotype" w:hAnsi="Palatino Linotype"/>
          <w:lang w:val="en-US"/>
        </w:rPr>
        <w:t>The wide branch network of the Bank allows it to cover the population of the whole country with banking servicers locally.</w:t>
      </w:r>
    </w:p>
    <w:p w:rsidR="00766A11" w:rsidRPr="00026244" w:rsidRDefault="00766A11" w:rsidP="00766A11">
      <w:pPr>
        <w:spacing w:after="0"/>
        <w:ind w:firstLine="426"/>
        <w:jc w:val="both"/>
        <w:rPr>
          <w:rFonts w:ascii="Palatino Linotype" w:hAnsi="Palatino Linotype"/>
          <w:lang w:val="en-US"/>
        </w:rPr>
      </w:pPr>
      <w:r w:rsidRPr="00026244">
        <w:rPr>
          <w:rFonts w:ascii="Palatino Linotype" w:hAnsi="Palatino Linotype"/>
          <w:lang w:val="en-US"/>
        </w:rPr>
        <w:t xml:space="preserve">As a result, to date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renders its divers services to more than 2 million people due to what it is acknowledged as a People Bank of Tajikistan.</w:t>
      </w:r>
    </w:p>
    <w:p w:rsidR="00766A11" w:rsidRPr="00026244" w:rsidRDefault="00766A11" w:rsidP="00766A11">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766A11">
      <w:pPr>
        <w:spacing w:after="0"/>
        <w:ind w:firstLine="567"/>
        <w:jc w:val="both"/>
        <w:rPr>
          <w:rFonts w:ascii="Palatino Linotype" w:hAnsi="Palatino Linotype"/>
          <w:color w:val="8064A2"/>
          <w:sz w:val="20"/>
          <w:szCs w:val="20"/>
          <w:lang w:val="en-US"/>
        </w:rPr>
      </w:pPr>
      <w:proofErr w:type="gramStart"/>
      <w:r w:rsidRPr="00026244">
        <w:rPr>
          <w:rFonts w:ascii="Palatino Linotype" w:hAnsi="Palatino Linotype"/>
          <w:b/>
          <w:i/>
          <w:color w:val="8064A2"/>
          <w:sz w:val="28"/>
          <w:szCs w:val="28"/>
          <w:lang w:val="en-US"/>
        </w:rPr>
        <w:t xml:space="preserve">Pension </w:t>
      </w:r>
      <w:r w:rsidRPr="00026244">
        <w:rPr>
          <w:rFonts w:ascii="Palatino Linotype" w:hAnsi="Palatino Linotype"/>
          <w:b/>
          <w:color w:val="8064A2"/>
          <w:sz w:val="28"/>
          <w:szCs w:val="28"/>
          <w:lang w:val="en-US"/>
        </w:rPr>
        <w:t>service</w:t>
      </w:r>
      <w:r w:rsidRPr="00026244">
        <w:rPr>
          <w:rFonts w:ascii="Palatino Linotype" w:hAnsi="Palatino Linotype"/>
          <w:b/>
          <w:i/>
          <w:color w:val="8064A2"/>
          <w:sz w:val="28"/>
          <w:szCs w:val="28"/>
          <w:lang w:val="en-US"/>
        </w:rPr>
        <w:t>.</w:t>
      </w:r>
      <w:proofErr w:type="gramEnd"/>
    </w:p>
    <w:p w:rsidR="00766A11" w:rsidRPr="00026244" w:rsidRDefault="00766A11" w:rsidP="00766A11">
      <w:pPr>
        <w:spacing w:after="0"/>
        <w:ind w:firstLine="567"/>
        <w:jc w:val="both"/>
        <w:rPr>
          <w:rFonts w:ascii="Palatino Linotype" w:hAnsi="Palatino Linotype"/>
          <w:sz w:val="20"/>
          <w:szCs w:val="20"/>
          <w:lang w:val="en-US"/>
        </w:rPr>
      </w:pPr>
    </w:p>
    <w:p w:rsidR="00766A11" w:rsidRPr="00026244" w:rsidRDefault="00766A11" w:rsidP="00766A11">
      <w:pPr>
        <w:spacing w:after="0"/>
        <w:ind w:firstLine="567"/>
        <w:jc w:val="both"/>
        <w:rPr>
          <w:rFonts w:ascii="Palatino Linotype" w:hAnsi="Palatino Linotype"/>
          <w:lang w:val="en-US"/>
        </w:rPr>
      </w:pPr>
      <w:r w:rsidRPr="00026244">
        <w:rPr>
          <w:rFonts w:ascii="Palatino Linotype" w:hAnsi="Palatino Linotype"/>
          <w:lang w:val="en-US"/>
        </w:rPr>
        <w:t xml:space="preserve">Since March 1997 by the Decree of the Government of the Republic of Tajikistan dated January 15, 1997 №32 “About transferring the pension accounts of the citizens to the branches of the Savings Bank of Tajikistan” pension payment has been done through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nk’s</w:t>
      </w:r>
      <w:proofErr w:type="spellEnd"/>
      <w:r w:rsidRPr="00026244">
        <w:rPr>
          <w:rFonts w:ascii="Palatino Linotype" w:hAnsi="Palatino Linotype"/>
          <w:lang w:val="en-US"/>
        </w:rPr>
        <w:t xml:space="preserve"> branches</w:t>
      </w:r>
      <w:proofErr w:type="gramStart"/>
      <w:r w:rsidRPr="00026244">
        <w:rPr>
          <w:rFonts w:ascii="Palatino Linotype" w:hAnsi="Palatino Linotype"/>
          <w:lang w:val="en-US"/>
        </w:rPr>
        <w:t>..</w:t>
      </w:r>
      <w:proofErr w:type="gramEnd"/>
    </w:p>
    <w:p w:rsidR="00766A11" w:rsidRPr="00026244" w:rsidRDefault="00766A11" w:rsidP="00766A11">
      <w:pPr>
        <w:spacing w:after="0"/>
        <w:jc w:val="both"/>
        <w:rPr>
          <w:rFonts w:ascii="Palatino Linotype" w:hAnsi="Palatino Linotype"/>
          <w:lang w:val="en-US"/>
        </w:rPr>
      </w:pPr>
      <w:r w:rsidRPr="00026244">
        <w:rPr>
          <w:rFonts w:ascii="Palatino Linotype" w:hAnsi="Palatino Linotype"/>
          <w:lang w:val="en-US"/>
        </w:rPr>
        <w:t>As of December 31,</w:t>
      </w:r>
      <w:r w:rsidR="00D433F3" w:rsidRPr="00026244">
        <w:rPr>
          <w:rFonts w:ascii="Palatino Linotype" w:hAnsi="Palatino Linotype"/>
          <w:lang w:val="en-US"/>
        </w:rPr>
        <w:t xml:space="preserve"> </w:t>
      </w:r>
      <w:r w:rsidRPr="00026244">
        <w:rPr>
          <w:rFonts w:ascii="Palatino Linotype" w:hAnsi="Palatino Linotype"/>
          <w:lang w:val="en-US"/>
        </w:rPr>
        <w:t xml:space="preserve">2011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served 554 </w:t>
      </w:r>
      <w:proofErr w:type="gramStart"/>
      <w:r w:rsidRPr="00026244">
        <w:rPr>
          <w:rFonts w:ascii="Palatino Linotype" w:hAnsi="Palatino Linotype"/>
          <w:lang w:val="en-US"/>
        </w:rPr>
        <w:t>451  pensioners</w:t>
      </w:r>
      <w:proofErr w:type="gramEnd"/>
      <w:r w:rsidRPr="00026244">
        <w:rPr>
          <w:rFonts w:ascii="Palatino Linotype" w:hAnsi="Palatino Linotype"/>
          <w:lang w:val="en-US"/>
        </w:rPr>
        <w:t xml:space="preserve"> of social sphere with the monthly demand 83,7 million TJS and 17 600 </w:t>
      </w:r>
      <w:r w:rsidR="00E975FC" w:rsidRPr="00026244">
        <w:rPr>
          <w:rFonts w:ascii="Palatino Linotype" w:hAnsi="Palatino Linotype"/>
          <w:lang w:val="en-US"/>
        </w:rPr>
        <w:t>pensioners</w:t>
      </w:r>
      <w:r w:rsidRPr="00026244">
        <w:rPr>
          <w:rFonts w:ascii="Palatino Linotype" w:hAnsi="Palatino Linotype"/>
          <w:lang w:val="en-US"/>
        </w:rPr>
        <w:t xml:space="preserve"> of law forces with the monthly demand 9,2 million TJS.    </w:t>
      </w:r>
    </w:p>
    <w:p w:rsidR="00766A11" w:rsidRPr="00026244" w:rsidRDefault="00766A11" w:rsidP="00FA70E9">
      <w:pPr>
        <w:spacing w:after="0"/>
        <w:ind w:firstLine="284"/>
        <w:jc w:val="both"/>
        <w:rPr>
          <w:rFonts w:ascii="Palatino Linotype" w:hAnsi="Palatino Linotype"/>
          <w:lang w:val="en-US"/>
        </w:rPr>
      </w:pPr>
    </w:p>
    <w:p w:rsidR="00D433F3" w:rsidRPr="00026244" w:rsidRDefault="00D433F3"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r w:rsidRPr="00026244">
        <w:rPr>
          <w:noProof/>
          <w:lang w:eastAsia="ru-RU"/>
        </w:rPr>
        <w:lastRenderedPageBreak/>
        <w:drawing>
          <wp:anchor distT="0" distB="2286" distL="114300" distR="114300" simplePos="0" relativeHeight="251653632" behindDoc="0" locked="0" layoutInCell="1" allowOverlap="1" wp14:anchorId="7AE752A8" wp14:editId="175AFE21">
            <wp:simplePos x="0" y="0"/>
            <wp:positionH relativeFrom="column">
              <wp:posOffset>510540</wp:posOffset>
            </wp:positionH>
            <wp:positionV relativeFrom="paragraph">
              <wp:posOffset>-122017</wp:posOffset>
            </wp:positionV>
            <wp:extent cx="4940935" cy="2549525"/>
            <wp:effectExtent l="0" t="0" r="0" b="3175"/>
            <wp:wrapNone/>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pPr>
    </w:p>
    <w:p w:rsidR="00766A11" w:rsidRPr="00026244" w:rsidRDefault="00766A11" w:rsidP="00FA70E9">
      <w:pPr>
        <w:spacing w:after="0"/>
        <w:ind w:firstLine="284"/>
        <w:jc w:val="both"/>
        <w:rPr>
          <w:rFonts w:ascii="Palatino Linotype" w:hAnsi="Palatino Linotype"/>
          <w:lang w:val="en-US"/>
        </w:rPr>
        <w:sectPr w:rsidR="00766A11" w:rsidRPr="00026244" w:rsidSect="00766A11">
          <w:type w:val="continuous"/>
          <w:pgSz w:w="11906" w:h="16838"/>
          <w:pgMar w:top="1134" w:right="850" w:bottom="1134" w:left="1134" w:header="708" w:footer="708" w:gutter="0"/>
          <w:cols w:num="2" w:space="566"/>
          <w:docGrid w:linePitch="360"/>
        </w:sectPr>
      </w:pPr>
    </w:p>
    <w:p w:rsidR="00766A11" w:rsidRPr="00026244" w:rsidRDefault="00766A11" w:rsidP="00FA70E9">
      <w:pPr>
        <w:spacing w:after="0"/>
        <w:ind w:firstLine="284"/>
        <w:jc w:val="both"/>
        <w:rPr>
          <w:rFonts w:ascii="Palatino Linotype" w:hAnsi="Palatino Linotype"/>
          <w:lang w:val="en-US"/>
        </w:rPr>
      </w:pPr>
    </w:p>
    <w:p w:rsidR="00FB5F40" w:rsidRPr="00026244" w:rsidRDefault="00FB5F40" w:rsidP="009F644F">
      <w:pPr>
        <w:spacing w:after="0"/>
        <w:jc w:val="both"/>
        <w:rPr>
          <w:rFonts w:ascii="Palatino Linotype" w:hAnsi="Palatino Linotype"/>
          <w:lang w:val="en-US"/>
        </w:rPr>
      </w:pPr>
    </w:p>
    <w:p w:rsidR="00766A11" w:rsidRPr="00026244" w:rsidRDefault="00766A11" w:rsidP="009F644F">
      <w:pPr>
        <w:spacing w:after="0"/>
        <w:jc w:val="both"/>
        <w:rPr>
          <w:rFonts w:ascii="Palatino Linotype" w:hAnsi="Palatino Linotype"/>
          <w:lang w:val="en-US"/>
        </w:rPr>
        <w:sectPr w:rsidR="00766A11" w:rsidRPr="00026244" w:rsidSect="00766A11">
          <w:type w:val="continuous"/>
          <w:pgSz w:w="11906" w:h="16838"/>
          <w:pgMar w:top="1134" w:right="850" w:bottom="1134" w:left="1134" w:header="708" w:footer="708" w:gutter="0"/>
          <w:cols w:num="2" w:space="566"/>
          <w:docGrid w:linePitch="360"/>
        </w:sect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FB5F40" w:rsidRPr="00026244" w:rsidRDefault="00FB5F40"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sz w:val="20"/>
          <w:szCs w:val="20"/>
          <w:lang w:val="en-US"/>
        </w:rPr>
      </w:pPr>
    </w:p>
    <w:p w:rsidR="00FB5F40" w:rsidRPr="00026244" w:rsidRDefault="00FB5F40" w:rsidP="00FA70E9">
      <w:pPr>
        <w:spacing w:after="0"/>
        <w:jc w:val="both"/>
        <w:rPr>
          <w:rFonts w:ascii="Palatino Linotype" w:hAnsi="Palatino Linotype"/>
          <w:b/>
          <w:sz w:val="20"/>
          <w:szCs w:val="20"/>
          <w:lang w:val="en-US"/>
        </w:rPr>
      </w:pPr>
    </w:p>
    <w:p w:rsidR="00766A11" w:rsidRPr="00026244" w:rsidRDefault="00766A11" w:rsidP="00FA70E9">
      <w:pPr>
        <w:spacing w:after="0"/>
        <w:jc w:val="both"/>
        <w:rPr>
          <w:rFonts w:ascii="Palatino Linotype" w:hAnsi="Palatino Linotype"/>
          <w:b/>
          <w:color w:val="8064A2"/>
          <w:sz w:val="24"/>
          <w:szCs w:val="24"/>
          <w:lang w:val="en-US"/>
        </w:rPr>
        <w:sectPr w:rsidR="00766A11" w:rsidRPr="00026244" w:rsidSect="00766A11">
          <w:type w:val="continuous"/>
          <w:pgSz w:w="11906" w:h="16838"/>
          <w:pgMar w:top="1134" w:right="850" w:bottom="1134" w:left="1134" w:header="708" w:footer="708" w:gutter="0"/>
          <w:cols w:num="2" w:space="566"/>
          <w:docGrid w:linePitch="360"/>
        </w:sectPr>
      </w:pPr>
    </w:p>
    <w:p w:rsidR="00FB5F40" w:rsidRPr="00026244" w:rsidRDefault="00FB5F40" w:rsidP="00545D59">
      <w:pPr>
        <w:spacing w:after="0"/>
        <w:ind w:firstLine="284"/>
        <w:jc w:val="both"/>
        <w:rPr>
          <w:rFonts w:ascii="Palatino Linotype" w:hAnsi="Palatino Linotype"/>
        </w:rPr>
      </w:pPr>
      <w:r w:rsidRPr="00026244">
        <w:rPr>
          <w:rFonts w:ascii="Palatino Linotype" w:hAnsi="Palatino Linotype"/>
        </w:rPr>
        <w:lastRenderedPageBreak/>
        <w:t>В целях повышения качества пенсионного обслуживания пенсионеров, Банк внедрил пластиковые карточки в эту сферу.</w:t>
      </w:r>
    </w:p>
    <w:p w:rsidR="00FB5F40" w:rsidRPr="00026244" w:rsidRDefault="00FB5F40" w:rsidP="00545D59">
      <w:pPr>
        <w:spacing w:after="0"/>
        <w:ind w:firstLine="284"/>
        <w:jc w:val="both"/>
        <w:rPr>
          <w:rFonts w:ascii="Palatino Linotype" w:hAnsi="Palatino Linotype"/>
        </w:rPr>
      </w:pPr>
      <w:r w:rsidRPr="00026244">
        <w:rPr>
          <w:rFonts w:ascii="Palatino Linotype" w:hAnsi="Palatino Linotype"/>
        </w:rPr>
        <w:t xml:space="preserve">Наряду с улучшением качества пенсионного обслуживания это позволяет Банку сократить число сотрудников занимающихся обслуживанием пенсионеров и способствует аккумуляции свободных средств пенсионеров на счетах Банка.        </w:t>
      </w:r>
    </w:p>
    <w:p w:rsidR="00FB5F40" w:rsidRPr="00026244" w:rsidRDefault="00FB5F40" w:rsidP="00545D59">
      <w:pPr>
        <w:spacing w:after="0"/>
        <w:ind w:firstLine="284"/>
        <w:jc w:val="both"/>
        <w:rPr>
          <w:rFonts w:ascii="Palatino Linotype" w:hAnsi="Palatino Linotype"/>
        </w:rPr>
      </w:pPr>
      <w:r w:rsidRPr="00026244">
        <w:rPr>
          <w:rFonts w:ascii="Palatino Linotype" w:hAnsi="Palatino Linotype"/>
        </w:rPr>
        <w:t xml:space="preserve">По состоянию на 31 декабря  2011 года  выплата пенсий  по пластиковым картам внедрена во всех филиалах Амонатбанка г. Душанбе, городов Куляба и </w:t>
      </w:r>
      <w:proofErr w:type="spellStart"/>
      <w:r w:rsidRPr="00026244">
        <w:rPr>
          <w:rFonts w:ascii="Palatino Linotype" w:hAnsi="Palatino Linotype"/>
        </w:rPr>
        <w:t>Кургантюбе</w:t>
      </w:r>
      <w:proofErr w:type="spellEnd"/>
      <w:r w:rsidR="00766A11" w:rsidRPr="00026244">
        <w:rPr>
          <w:rFonts w:ascii="Palatino Linotype" w:hAnsi="Palatino Linotype"/>
        </w:rPr>
        <w:t xml:space="preserve"> </w:t>
      </w:r>
      <w:proofErr w:type="spellStart"/>
      <w:r w:rsidRPr="00026244">
        <w:rPr>
          <w:rFonts w:ascii="Palatino Linotype" w:hAnsi="Palatino Linotype"/>
        </w:rPr>
        <w:t>Хатлонской</w:t>
      </w:r>
      <w:proofErr w:type="spellEnd"/>
      <w:r w:rsidRPr="00026244">
        <w:rPr>
          <w:rFonts w:ascii="Palatino Linotype" w:hAnsi="Palatino Linotype"/>
        </w:rPr>
        <w:t xml:space="preserve"> области. Внедрение данного механизма в филиалах Амонатбанка городов Исфара, </w:t>
      </w:r>
      <w:proofErr w:type="spellStart"/>
      <w:r w:rsidRPr="00026244">
        <w:rPr>
          <w:rFonts w:ascii="Palatino Linotype" w:hAnsi="Palatino Linotype"/>
        </w:rPr>
        <w:t>Истиклол</w:t>
      </w:r>
      <w:proofErr w:type="spellEnd"/>
      <w:r w:rsidRPr="00026244">
        <w:rPr>
          <w:rFonts w:ascii="Palatino Linotype" w:hAnsi="Palatino Linotype"/>
        </w:rPr>
        <w:t xml:space="preserve">, </w:t>
      </w:r>
      <w:proofErr w:type="spellStart"/>
      <w:r w:rsidRPr="00026244">
        <w:rPr>
          <w:rFonts w:ascii="Palatino Linotype" w:hAnsi="Palatino Linotype"/>
        </w:rPr>
        <w:t>Норак</w:t>
      </w:r>
      <w:proofErr w:type="spellEnd"/>
      <w:r w:rsidRPr="00026244">
        <w:rPr>
          <w:rFonts w:ascii="Palatino Linotype" w:hAnsi="Palatino Linotype"/>
        </w:rPr>
        <w:t xml:space="preserve"> и </w:t>
      </w:r>
      <w:proofErr w:type="spellStart"/>
      <w:r w:rsidRPr="00026244">
        <w:rPr>
          <w:rFonts w:ascii="Palatino Linotype" w:hAnsi="Palatino Linotype"/>
        </w:rPr>
        <w:t>Вахдат</w:t>
      </w:r>
      <w:proofErr w:type="spellEnd"/>
      <w:r w:rsidRPr="00026244">
        <w:rPr>
          <w:rFonts w:ascii="Palatino Linotype" w:hAnsi="Palatino Linotype"/>
        </w:rPr>
        <w:t xml:space="preserve"> начато с января месяца текущего года. </w:t>
      </w:r>
    </w:p>
    <w:p w:rsidR="00FB5F40" w:rsidRPr="00026244" w:rsidRDefault="00FB5F40" w:rsidP="00545D59">
      <w:pPr>
        <w:spacing w:after="0"/>
        <w:ind w:firstLine="284"/>
        <w:jc w:val="both"/>
        <w:rPr>
          <w:rFonts w:ascii="Palatino Linotype" w:hAnsi="Palatino Linotype"/>
        </w:rPr>
      </w:pPr>
      <w:r w:rsidRPr="00026244">
        <w:rPr>
          <w:rFonts w:ascii="Palatino Linotype" w:hAnsi="Palatino Linotype"/>
        </w:rPr>
        <w:t>По состоянию на 31 декабря 2011 года число пенсионеров держателей банковских карточек составило 157 207 человек.</w:t>
      </w:r>
    </w:p>
    <w:p w:rsidR="00FB5F40" w:rsidRPr="00026244" w:rsidRDefault="00FB5F40" w:rsidP="00545D59">
      <w:pPr>
        <w:spacing w:after="0"/>
        <w:ind w:firstLine="284"/>
        <w:jc w:val="both"/>
        <w:rPr>
          <w:rFonts w:ascii="Palatino Linotype" w:hAnsi="Palatino Linotype"/>
        </w:rPr>
      </w:pPr>
      <w:r w:rsidRPr="00026244">
        <w:rPr>
          <w:rFonts w:ascii="Palatino Linotype" w:hAnsi="Palatino Linotype"/>
        </w:rPr>
        <w:t xml:space="preserve">Выпуск, персонализация карточек для пенсионеров и услуги выплаты пенсий через банкоматы Амонатбанка производится на бесплатной основе.  </w:t>
      </w:r>
    </w:p>
    <w:p w:rsidR="00FB5F40" w:rsidRPr="00026244" w:rsidRDefault="00FB5F40" w:rsidP="00545D59">
      <w:pPr>
        <w:spacing w:after="0"/>
        <w:ind w:firstLine="284"/>
        <w:jc w:val="both"/>
        <w:rPr>
          <w:rFonts w:ascii="Palatino Linotype" w:hAnsi="Palatino Linotype"/>
        </w:rPr>
      </w:pPr>
      <w:proofErr w:type="gramStart"/>
      <w:r w:rsidRPr="00026244">
        <w:rPr>
          <w:rFonts w:ascii="Palatino Linotype" w:hAnsi="Palatino Linotype"/>
        </w:rPr>
        <w:t>Банк не собирается останавливаться на достигнутом и в будущем будет стремиться к последовательному переходу обслуживания всех пенсионеров республики пластиковыми карточками.</w:t>
      </w:r>
      <w:proofErr w:type="gramEnd"/>
    </w:p>
    <w:p w:rsidR="00FB5F40" w:rsidRPr="00026244" w:rsidRDefault="00FB5F40" w:rsidP="00545D59">
      <w:pPr>
        <w:spacing w:after="0"/>
        <w:ind w:firstLine="284"/>
        <w:jc w:val="both"/>
        <w:rPr>
          <w:rFonts w:ascii="Palatino Linotype" w:hAnsi="Palatino Linotype"/>
          <w:lang w:val="en-US"/>
        </w:rPr>
      </w:pPr>
      <w:r w:rsidRPr="00026244">
        <w:rPr>
          <w:rFonts w:ascii="Palatino Linotype" w:hAnsi="Palatino Linotype"/>
          <w:lang w:val="en-US"/>
        </w:rPr>
        <w:lastRenderedPageBreak/>
        <w:t xml:space="preserve">With a view to improve the quality of pension service,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applied plastic cards in pension service.</w:t>
      </w:r>
    </w:p>
    <w:p w:rsidR="00FB5F40" w:rsidRPr="00026244" w:rsidRDefault="00FB5F40" w:rsidP="00545D59">
      <w:pPr>
        <w:spacing w:after="0"/>
        <w:ind w:firstLine="284"/>
        <w:jc w:val="both"/>
        <w:rPr>
          <w:rFonts w:ascii="Palatino Linotype" w:hAnsi="Palatino Linotype"/>
          <w:lang w:val="en-US"/>
        </w:rPr>
      </w:pPr>
      <w:r w:rsidRPr="00026244">
        <w:rPr>
          <w:rFonts w:ascii="Palatino Linotype" w:hAnsi="Palatino Linotype"/>
          <w:lang w:val="en-US"/>
        </w:rPr>
        <w:t xml:space="preserve">Besides this type of service encourages reduction of the staff dealing with pension services and contributes to accumulation of spare funds of pensioners on their bank accounts.    </w:t>
      </w:r>
    </w:p>
    <w:p w:rsidR="00FB5F40" w:rsidRPr="00026244" w:rsidRDefault="00FB5F40" w:rsidP="00545D59">
      <w:pPr>
        <w:spacing w:after="0"/>
        <w:ind w:firstLine="284"/>
        <w:jc w:val="both"/>
        <w:rPr>
          <w:rFonts w:ascii="Palatino Linotype" w:hAnsi="Palatino Linotype"/>
          <w:lang w:val="en-US"/>
        </w:rPr>
      </w:pPr>
      <w:r w:rsidRPr="00026244">
        <w:rPr>
          <w:rFonts w:ascii="Palatino Linotype" w:hAnsi="Palatino Linotype"/>
          <w:lang w:val="en-US"/>
        </w:rPr>
        <w:t xml:space="preserve">As of December 31, 2011 payment of pension through plastic cards is applied in all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branches in Dushanbe, </w:t>
      </w:r>
      <w:proofErr w:type="spellStart"/>
      <w:r w:rsidRPr="00026244">
        <w:rPr>
          <w:rFonts w:ascii="Palatino Linotype" w:hAnsi="Palatino Linotype"/>
          <w:lang w:val="en-US"/>
        </w:rPr>
        <w:t>Kulyab</w:t>
      </w:r>
      <w:proofErr w:type="spellEnd"/>
      <w:r w:rsidRPr="00026244">
        <w:rPr>
          <w:rFonts w:ascii="Palatino Linotype" w:hAnsi="Palatino Linotype"/>
          <w:lang w:val="en-US"/>
        </w:rPr>
        <w:t xml:space="preserve"> and </w:t>
      </w:r>
      <w:proofErr w:type="spellStart"/>
      <w:r w:rsidRPr="00026244">
        <w:rPr>
          <w:rFonts w:ascii="Palatino Linotype" w:hAnsi="Palatino Linotype"/>
          <w:lang w:val="en-US"/>
        </w:rPr>
        <w:t>Kurgantyube</w:t>
      </w:r>
      <w:proofErr w:type="spellEnd"/>
      <w:r w:rsidRPr="00026244">
        <w:rPr>
          <w:rFonts w:ascii="Palatino Linotype" w:hAnsi="Palatino Linotype"/>
          <w:lang w:val="en-US"/>
        </w:rPr>
        <w:t xml:space="preserve"> towns of </w:t>
      </w:r>
      <w:proofErr w:type="spellStart"/>
      <w:r w:rsidRPr="00026244">
        <w:rPr>
          <w:rFonts w:ascii="Palatino Linotype" w:hAnsi="Palatino Linotype"/>
          <w:lang w:val="en-US"/>
        </w:rPr>
        <w:t>Khatlon</w:t>
      </w:r>
      <w:proofErr w:type="spellEnd"/>
      <w:r w:rsidRPr="00026244">
        <w:rPr>
          <w:rFonts w:ascii="Palatino Linotype" w:hAnsi="Palatino Linotype"/>
          <w:lang w:val="en-US"/>
        </w:rPr>
        <w:t xml:space="preserve"> region. Introducing this mechanism of payment in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nk’s</w:t>
      </w:r>
      <w:proofErr w:type="spellEnd"/>
      <w:r w:rsidRPr="00026244">
        <w:rPr>
          <w:rFonts w:ascii="Palatino Linotype" w:hAnsi="Palatino Linotype"/>
          <w:lang w:val="en-US"/>
        </w:rPr>
        <w:t xml:space="preserve"> branches of </w:t>
      </w:r>
      <w:proofErr w:type="spellStart"/>
      <w:r w:rsidRPr="00026244">
        <w:rPr>
          <w:rFonts w:ascii="Palatino Linotype" w:hAnsi="Palatino Linotype"/>
          <w:lang w:val="en-US"/>
        </w:rPr>
        <w:t>Isfara</w:t>
      </w:r>
      <w:proofErr w:type="spellEnd"/>
      <w:r w:rsidRPr="00026244">
        <w:rPr>
          <w:rFonts w:ascii="Palatino Linotype" w:hAnsi="Palatino Linotype"/>
          <w:lang w:val="en-US"/>
        </w:rPr>
        <w:t xml:space="preserve">, </w:t>
      </w:r>
      <w:proofErr w:type="spellStart"/>
      <w:r w:rsidRPr="00026244">
        <w:rPr>
          <w:rFonts w:ascii="Palatino Linotype" w:hAnsi="Palatino Linotype"/>
          <w:lang w:val="en-US"/>
        </w:rPr>
        <w:t>Istiklol</w:t>
      </w:r>
      <w:proofErr w:type="spellEnd"/>
      <w:r w:rsidRPr="00026244">
        <w:rPr>
          <w:rFonts w:ascii="Palatino Linotype" w:hAnsi="Palatino Linotype"/>
          <w:lang w:val="en-US"/>
        </w:rPr>
        <w:t xml:space="preserve">, </w:t>
      </w:r>
      <w:proofErr w:type="spellStart"/>
      <w:r w:rsidRPr="00026244">
        <w:rPr>
          <w:rFonts w:ascii="Palatino Linotype" w:hAnsi="Palatino Linotype"/>
          <w:lang w:val="en-US"/>
        </w:rPr>
        <w:t>Nurek</w:t>
      </w:r>
      <w:proofErr w:type="spellEnd"/>
      <w:r w:rsidRPr="00026244">
        <w:rPr>
          <w:rFonts w:ascii="Palatino Linotype" w:hAnsi="Palatino Linotype"/>
          <w:lang w:val="en-US"/>
        </w:rPr>
        <w:t xml:space="preserve"> and </w:t>
      </w:r>
      <w:proofErr w:type="spellStart"/>
      <w:r w:rsidRPr="00026244">
        <w:rPr>
          <w:rFonts w:ascii="Palatino Linotype" w:hAnsi="Palatino Linotype"/>
          <w:lang w:val="en-US"/>
        </w:rPr>
        <w:t>Vahdat</w:t>
      </w:r>
      <w:proofErr w:type="spellEnd"/>
      <w:r w:rsidRPr="00026244">
        <w:rPr>
          <w:rFonts w:ascii="Palatino Linotype" w:hAnsi="Palatino Linotype"/>
          <w:lang w:val="en-US"/>
        </w:rPr>
        <w:t xml:space="preserve"> </w:t>
      </w:r>
      <w:proofErr w:type="gramStart"/>
      <w:r w:rsidRPr="00026244">
        <w:rPr>
          <w:rFonts w:ascii="Palatino Linotype" w:hAnsi="Palatino Linotype"/>
          <w:lang w:val="en-US"/>
        </w:rPr>
        <w:t>districts  has</w:t>
      </w:r>
      <w:proofErr w:type="gramEnd"/>
      <w:r w:rsidRPr="00026244">
        <w:rPr>
          <w:rFonts w:ascii="Palatino Linotype" w:hAnsi="Palatino Linotype"/>
          <w:lang w:val="en-US"/>
        </w:rPr>
        <w:t xml:space="preserve"> been started since January 2012. </w:t>
      </w:r>
    </w:p>
    <w:p w:rsidR="00FB5F40" w:rsidRPr="00026244" w:rsidRDefault="00FB5F40" w:rsidP="00545D59">
      <w:pPr>
        <w:spacing w:after="0"/>
        <w:ind w:firstLine="284"/>
        <w:jc w:val="both"/>
        <w:rPr>
          <w:rFonts w:ascii="Palatino Linotype" w:hAnsi="Palatino Linotype"/>
          <w:lang w:val="en-US"/>
        </w:rPr>
      </w:pPr>
      <w:r w:rsidRPr="00026244">
        <w:rPr>
          <w:rFonts w:ascii="Palatino Linotype" w:hAnsi="Palatino Linotype"/>
          <w:lang w:val="en-US"/>
        </w:rPr>
        <w:t xml:space="preserve">As of December 31, 2012 the number of card holders amongst pensioners achieved 157 207 people. </w:t>
      </w:r>
    </w:p>
    <w:p w:rsidR="00FB5F40" w:rsidRPr="00026244" w:rsidRDefault="00FB5F40" w:rsidP="00545D59">
      <w:pPr>
        <w:spacing w:after="0"/>
        <w:ind w:firstLine="567"/>
        <w:jc w:val="both"/>
        <w:rPr>
          <w:rFonts w:ascii="Palatino Linotype" w:hAnsi="Palatino Linotype"/>
          <w:lang w:val="en-US"/>
        </w:rPr>
      </w:pPr>
      <w:r w:rsidRPr="00026244">
        <w:rPr>
          <w:rFonts w:ascii="Palatino Linotype" w:hAnsi="Palatino Linotype"/>
          <w:lang w:val="en-US"/>
        </w:rPr>
        <w:t xml:space="preserve">Issuing, authorization of plastic cards for pensioners and payment of </w:t>
      </w:r>
      <w:proofErr w:type="gramStart"/>
      <w:r w:rsidRPr="00026244">
        <w:rPr>
          <w:rFonts w:ascii="Palatino Linotype" w:hAnsi="Palatino Linotype"/>
          <w:lang w:val="en-US"/>
        </w:rPr>
        <w:t>pension  through</w:t>
      </w:r>
      <w:proofErr w:type="gramEnd"/>
      <w:r w:rsidRPr="00026244">
        <w:rPr>
          <w:rFonts w:ascii="Palatino Linotype" w:hAnsi="Palatino Linotype"/>
          <w:lang w:val="en-US"/>
        </w:rPr>
        <w:t xml:space="preserve"> </w:t>
      </w:r>
      <w:proofErr w:type="spellStart"/>
      <w:r w:rsidRPr="00026244">
        <w:rPr>
          <w:rFonts w:ascii="Palatino Linotype" w:hAnsi="Palatino Linotype"/>
          <w:lang w:val="en-US"/>
        </w:rPr>
        <w:t>Amnatb</w:t>
      </w:r>
      <w:r w:rsidR="005C660A" w:rsidRPr="00026244">
        <w:rPr>
          <w:rFonts w:ascii="Palatino Linotype" w:hAnsi="Palatino Linotype"/>
          <w:lang w:val="en-US"/>
        </w:rPr>
        <w:t>a</w:t>
      </w:r>
      <w:r w:rsidRPr="00026244">
        <w:rPr>
          <w:rFonts w:ascii="Palatino Linotype" w:hAnsi="Palatino Linotype"/>
          <w:lang w:val="en-US"/>
        </w:rPr>
        <w:t>nk’s</w:t>
      </w:r>
      <w:proofErr w:type="spellEnd"/>
      <w:r w:rsidRPr="00026244">
        <w:rPr>
          <w:rFonts w:ascii="Palatino Linotype" w:hAnsi="Palatino Linotype"/>
          <w:lang w:val="en-US"/>
        </w:rPr>
        <w:t xml:space="preserve"> ATMs is done free of charges.  </w:t>
      </w:r>
    </w:p>
    <w:p w:rsidR="00FB5F40" w:rsidRPr="00026244" w:rsidRDefault="00FB5F40" w:rsidP="00545D59">
      <w:pPr>
        <w:spacing w:after="0"/>
        <w:ind w:firstLine="567"/>
        <w:jc w:val="both"/>
        <w:rPr>
          <w:rFonts w:ascii="Palatino Linotype" w:hAnsi="Palatino Linotype"/>
          <w:lang w:val="en-US"/>
        </w:rPr>
      </w:pP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is not going to stop on what is already achieved and will aim at gradual transfer of all pensioners of the country to the service through plastic </w:t>
      </w:r>
      <w:r w:rsidR="00E975FC" w:rsidRPr="00026244">
        <w:rPr>
          <w:rFonts w:ascii="Palatino Linotype" w:hAnsi="Palatino Linotype"/>
          <w:lang w:val="en-US"/>
        </w:rPr>
        <w:t>cards</w:t>
      </w:r>
      <w:r w:rsidRPr="00026244">
        <w:rPr>
          <w:rFonts w:ascii="Palatino Linotype" w:hAnsi="Palatino Linotype"/>
          <w:lang w:val="en-US"/>
        </w:rPr>
        <w:t>.</w:t>
      </w:r>
    </w:p>
    <w:p w:rsidR="00FB5F40" w:rsidRPr="00026244" w:rsidRDefault="00FB5F40" w:rsidP="00A16A2C">
      <w:pPr>
        <w:spacing w:after="0"/>
        <w:ind w:firstLine="284"/>
        <w:jc w:val="both"/>
        <w:rPr>
          <w:rFonts w:ascii="Palatino Linotype" w:hAnsi="Palatino Linotype"/>
          <w:lang w:val="en-US"/>
        </w:rPr>
      </w:pPr>
    </w:p>
    <w:p w:rsidR="00766A11" w:rsidRPr="00026244" w:rsidRDefault="00766A11" w:rsidP="00766A11">
      <w:pPr>
        <w:spacing w:after="0"/>
        <w:ind w:firstLine="284"/>
        <w:jc w:val="both"/>
        <w:rPr>
          <w:rFonts w:ascii="Palatino Linotype" w:hAnsi="Palatino Linotype"/>
        </w:rPr>
      </w:pPr>
      <w:r w:rsidRPr="00026244">
        <w:rPr>
          <w:rFonts w:ascii="Palatino Linotype" w:hAnsi="Palatino Linotype"/>
        </w:rPr>
        <w:t xml:space="preserve">Кроме того в  2011 году  филиалами Банка приняты и перечислены средства </w:t>
      </w:r>
      <w:r w:rsidRPr="00026244">
        <w:rPr>
          <w:rFonts w:ascii="Palatino Linotype" w:hAnsi="Palatino Linotype"/>
        </w:rPr>
        <w:lastRenderedPageBreak/>
        <w:t xml:space="preserve">социального страхования на общую сумму 854,7 млн. </w:t>
      </w:r>
      <w:proofErr w:type="spellStart"/>
      <w:r w:rsidRPr="00026244">
        <w:rPr>
          <w:rFonts w:ascii="Palatino Linotype" w:hAnsi="Palatino Linotype"/>
        </w:rPr>
        <w:t>сомони</w:t>
      </w:r>
      <w:proofErr w:type="spellEnd"/>
      <w:r w:rsidRPr="00026244">
        <w:rPr>
          <w:rFonts w:ascii="Palatino Linotype" w:hAnsi="Palatino Linotype"/>
        </w:rPr>
        <w:t xml:space="preserve"> на счет Государственного Агентства социального страхования и пенсий Министерства труда и социальной защиты населения Республики Таджикистан, что по сравнению с  2010 годом увеличилось на  27,4%.</w:t>
      </w:r>
    </w:p>
    <w:p w:rsidR="00FB5F40" w:rsidRPr="00026244" w:rsidRDefault="00FB5F40" w:rsidP="00A16A2C">
      <w:pPr>
        <w:spacing w:after="0"/>
        <w:ind w:firstLine="284"/>
        <w:jc w:val="both"/>
        <w:rPr>
          <w:rFonts w:ascii="Palatino Linotype" w:hAnsi="Palatino Linotype"/>
        </w:rPr>
      </w:pPr>
    </w:p>
    <w:p w:rsidR="00FB5F40" w:rsidRPr="00026244" w:rsidRDefault="00FB5F40" w:rsidP="00545D59">
      <w:pPr>
        <w:spacing w:after="0"/>
        <w:rPr>
          <w:rFonts w:ascii="Palatino Linotype" w:hAnsi="Palatino Linotype"/>
          <w:sz w:val="28"/>
          <w:szCs w:val="28"/>
        </w:rPr>
      </w:pPr>
      <w:r w:rsidRPr="00026244">
        <w:rPr>
          <w:rFonts w:ascii="Palatino Linotype" w:hAnsi="Palatino Linotype"/>
          <w:b/>
          <w:i/>
          <w:sz w:val="28"/>
          <w:szCs w:val="28"/>
        </w:rPr>
        <w:t>Обслуживание бюджетной сферы</w:t>
      </w:r>
      <w:r w:rsidRPr="00026244">
        <w:rPr>
          <w:rFonts w:ascii="Palatino Linotype" w:hAnsi="Palatino Linotype"/>
          <w:sz w:val="28"/>
          <w:szCs w:val="28"/>
        </w:rPr>
        <w:t>.</w:t>
      </w:r>
    </w:p>
    <w:p w:rsidR="00FB5F40" w:rsidRPr="00026244" w:rsidRDefault="00FB5F40" w:rsidP="00545D59">
      <w:pPr>
        <w:spacing w:after="0"/>
        <w:rPr>
          <w:rFonts w:ascii="Palatino Linotype" w:hAnsi="Palatino Linotype"/>
          <w:sz w:val="24"/>
          <w:szCs w:val="24"/>
        </w:rPr>
      </w:pPr>
    </w:p>
    <w:p w:rsidR="00FB5F40" w:rsidRPr="00026244" w:rsidRDefault="00FB5F40" w:rsidP="00545D59">
      <w:pPr>
        <w:spacing w:after="0"/>
        <w:ind w:firstLine="284"/>
        <w:jc w:val="both"/>
        <w:rPr>
          <w:rFonts w:ascii="Palatino Linotype" w:hAnsi="Palatino Linotype"/>
        </w:rPr>
      </w:pPr>
      <w:r w:rsidRPr="00026244">
        <w:rPr>
          <w:rFonts w:ascii="Palatino Linotype" w:hAnsi="Palatino Linotype"/>
        </w:rPr>
        <w:t xml:space="preserve"> Обслуживание денежных потоков Государственной исполнительной власти и бюджетных организаций возложено на Амонатбанк с предоставлением  полного набора  банковских услуг. При этом значительный объём финансовых операций им выполняется на бесплатной основе. </w:t>
      </w:r>
    </w:p>
    <w:p w:rsidR="00FB5F40" w:rsidRPr="00026244" w:rsidRDefault="00FB5F40" w:rsidP="00545D59">
      <w:pPr>
        <w:spacing w:after="0"/>
        <w:ind w:firstLine="284"/>
        <w:jc w:val="both"/>
        <w:rPr>
          <w:rFonts w:ascii="Palatino Linotype" w:hAnsi="Palatino Linotype"/>
          <w:lang w:val="en-US"/>
        </w:rPr>
      </w:pPr>
      <w:r w:rsidRPr="00026244">
        <w:rPr>
          <w:rFonts w:ascii="Palatino Linotype" w:hAnsi="Palatino Linotype"/>
        </w:rPr>
        <w:t xml:space="preserve">За 2011 год через транзитные счета республиканского бюджета  перечислено   1443,9 млн. </w:t>
      </w:r>
      <w:proofErr w:type="spellStart"/>
      <w:r w:rsidRPr="00026244">
        <w:rPr>
          <w:rFonts w:ascii="Palatino Linotype" w:hAnsi="Palatino Linotype"/>
        </w:rPr>
        <w:t>сомони</w:t>
      </w:r>
      <w:proofErr w:type="spellEnd"/>
      <w:r w:rsidRPr="00026244">
        <w:rPr>
          <w:rFonts w:ascii="Palatino Linotype" w:hAnsi="Palatino Linotype"/>
        </w:rPr>
        <w:t>. Прирост</w:t>
      </w:r>
      <w:r w:rsidRPr="00026244">
        <w:rPr>
          <w:rFonts w:ascii="Palatino Linotype" w:hAnsi="Palatino Linotype"/>
          <w:lang w:val="en-US"/>
        </w:rPr>
        <w:t xml:space="preserve"> </w:t>
      </w:r>
      <w:r w:rsidRPr="00026244">
        <w:rPr>
          <w:rFonts w:ascii="Palatino Linotype" w:hAnsi="Palatino Linotype"/>
        </w:rPr>
        <w:t>по</w:t>
      </w:r>
      <w:r w:rsidRPr="00026244">
        <w:rPr>
          <w:rFonts w:ascii="Palatino Linotype" w:hAnsi="Palatino Linotype"/>
          <w:lang w:val="en-US"/>
        </w:rPr>
        <w:t xml:space="preserve"> </w:t>
      </w:r>
      <w:r w:rsidRPr="00026244">
        <w:rPr>
          <w:rFonts w:ascii="Palatino Linotype" w:hAnsi="Palatino Linotype"/>
        </w:rPr>
        <w:t>сравнению</w:t>
      </w:r>
      <w:r w:rsidRPr="00026244">
        <w:rPr>
          <w:rFonts w:ascii="Palatino Linotype" w:hAnsi="Palatino Linotype"/>
          <w:lang w:val="en-US"/>
        </w:rPr>
        <w:t xml:space="preserve">  </w:t>
      </w:r>
      <w:r w:rsidRPr="00026244">
        <w:rPr>
          <w:rFonts w:ascii="Palatino Linotype" w:hAnsi="Palatino Linotype"/>
        </w:rPr>
        <w:t>с</w:t>
      </w:r>
      <w:r w:rsidRPr="00026244">
        <w:rPr>
          <w:rFonts w:ascii="Palatino Linotype" w:hAnsi="Palatino Linotype"/>
          <w:lang w:val="en-US"/>
        </w:rPr>
        <w:t xml:space="preserve"> 2010 </w:t>
      </w:r>
      <w:r w:rsidRPr="00026244">
        <w:rPr>
          <w:rFonts w:ascii="Palatino Linotype" w:hAnsi="Palatino Linotype"/>
        </w:rPr>
        <w:t>годом</w:t>
      </w:r>
      <w:r w:rsidRPr="00026244">
        <w:rPr>
          <w:rFonts w:ascii="Palatino Linotype" w:hAnsi="Palatino Linotype"/>
          <w:lang w:val="en-US"/>
        </w:rPr>
        <w:t xml:space="preserve"> </w:t>
      </w:r>
      <w:r w:rsidRPr="00026244">
        <w:rPr>
          <w:rFonts w:ascii="Palatino Linotype" w:hAnsi="Palatino Linotype"/>
        </w:rPr>
        <w:t>составил</w:t>
      </w:r>
      <w:r w:rsidRPr="00026244">
        <w:rPr>
          <w:rFonts w:ascii="Palatino Linotype" w:hAnsi="Palatino Linotype"/>
          <w:lang w:val="en-US"/>
        </w:rPr>
        <w:t xml:space="preserve">  20,6%.</w:t>
      </w:r>
    </w:p>
    <w:p w:rsidR="00FB5F40" w:rsidRPr="00026244" w:rsidRDefault="00FB5F40" w:rsidP="00545D59">
      <w:pPr>
        <w:spacing w:after="0"/>
        <w:ind w:firstLine="284"/>
        <w:jc w:val="both"/>
        <w:rPr>
          <w:rFonts w:ascii="Palatino Linotype" w:hAnsi="Palatino Linotype"/>
          <w:lang w:val="en-US"/>
        </w:rPr>
      </w:pPr>
    </w:p>
    <w:p w:rsidR="00FB5F40" w:rsidRPr="00026244" w:rsidRDefault="00766A11" w:rsidP="00545D59">
      <w:pPr>
        <w:spacing w:after="0"/>
        <w:ind w:firstLine="284"/>
        <w:jc w:val="both"/>
        <w:rPr>
          <w:rFonts w:ascii="Palatino Linotype" w:hAnsi="Palatino Linotype"/>
          <w:lang w:val="en-US"/>
        </w:rPr>
      </w:pPr>
      <w:r w:rsidRPr="00026244">
        <w:rPr>
          <w:noProof/>
          <w:color w:val="006600"/>
          <w:lang w:eastAsia="ru-RU"/>
        </w:rPr>
        <w:drawing>
          <wp:anchor distT="0" distB="8763" distL="114300" distR="115062" simplePos="0" relativeHeight="251654656" behindDoc="0" locked="0" layoutInCell="1" allowOverlap="1" wp14:anchorId="18D3FEA6" wp14:editId="17DCE4CC">
            <wp:simplePos x="0" y="0"/>
            <wp:positionH relativeFrom="column">
              <wp:posOffset>-8890</wp:posOffset>
            </wp:positionH>
            <wp:positionV relativeFrom="paragraph">
              <wp:posOffset>158750</wp:posOffset>
            </wp:positionV>
            <wp:extent cx="5815330" cy="3181985"/>
            <wp:effectExtent l="0" t="0" r="0" b="0"/>
            <wp:wrapNone/>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color w:val="FF0000"/>
          <w:lang w:val="en-US"/>
        </w:rPr>
      </w:pPr>
    </w:p>
    <w:p w:rsidR="00FB5F40" w:rsidRPr="00026244" w:rsidRDefault="00FB5F40" w:rsidP="00545D59">
      <w:pPr>
        <w:spacing w:after="0"/>
        <w:ind w:firstLine="284"/>
        <w:jc w:val="both"/>
        <w:rPr>
          <w:rFonts w:ascii="Palatino Linotype" w:hAnsi="Palatino Linotype"/>
          <w:color w:val="FF0000"/>
          <w:lang w:val="en-US"/>
        </w:rPr>
      </w:pPr>
    </w:p>
    <w:p w:rsidR="00FB5F40" w:rsidRPr="00026244" w:rsidRDefault="00FB5F40" w:rsidP="00545D59">
      <w:pPr>
        <w:spacing w:after="0"/>
        <w:ind w:firstLine="284"/>
        <w:jc w:val="both"/>
        <w:rPr>
          <w:rFonts w:ascii="Palatino Linotype" w:hAnsi="Palatino Linotype"/>
          <w:color w:val="FF0000"/>
          <w:lang w:val="en-US"/>
        </w:rPr>
      </w:pPr>
    </w:p>
    <w:p w:rsidR="00FB5F40" w:rsidRPr="00026244" w:rsidRDefault="00FB5F40" w:rsidP="00545D59">
      <w:pPr>
        <w:spacing w:after="0"/>
        <w:ind w:firstLine="284"/>
        <w:jc w:val="both"/>
        <w:rPr>
          <w:rFonts w:ascii="Palatino Linotype" w:hAnsi="Palatino Linotype"/>
          <w:color w:val="FF0000"/>
          <w:lang w:val="en-US"/>
        </w:rPr>
      </w:pPr>
    </w:p>
    <w:p w:rsidR="00F6320B" w:rsidRPr="00026244" w:rsidRDefault="00F6320B"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647A71" w:rsidRPr="00026244" w:rsidRDefault="00647A71" w:rsidP="00545D59">
      <w:pPr>
        <w:spacing w:after="0"/>
        <w:ind w:firstLine="284"/>
        <w:jc w:val="both"/>
        <w:rPr>
          <w:rFonts w:ascii="Palatino Linotype" w:hAnsi="Palatino Linotype"/>
          <w:lang w:val="en-US"/>
        </w:rPr>
      </w:pPr>
    </w:p>
    <w:p w:rsidR="00766A11" w:rsidRPr="00026244" w:rsidRDefault="00766A11" w:rsidP="00766A11">
      <w:pPr>
        <w:spacing w:after="0"/>
        <w:ind w:firstLine="284"/>
        <w:jc w:val="both"/>
        <w:rPr>
          <w:rFonts w:ascii="Palatino Linotype" w:hAnsi="Palatino Linotype"/>
          <w:lang w:val="en-US"/>
        </w:rPr>
      </w:pPr>
      <w:r w:rsidRPr="00026244">
        <w:rPr>
          <w:rFonts w:ascii="Palatino Linotype" w:hAnsi="Palatino Linotype"/>
          <w:lang w:val="en-US"/>
        </w:rPr>
        <w:lastRenderedPageBreak/>
        <w:t xml:space="preserve">Furthermore in 2011 the branches of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received and transferred to the account of the State Agency of social insurance and pension of the Ministry of </w:t>
      </w:r>
      <w:proofErr w:type="spellStart"/>
      <w:r w:rsidRPr="00026244">
        <w:rPr>
          <w:rFonts w:ascii="Palatino Linotype" w:hAnsi="Palatino Linotype"/>
          <w:lang w:val="en-US"/>
        </w:rPr>
        <w:t>labour</w:t>
      </w:r>
      <w:proofErr w:type="spellEnd"/>
      <w:r w:rsidRPr="00026244">
        <w:rPr>
          <w:rFonts w:ascii="Palatino Linotype" w:hAnsi="Palatino Linotype"/>
          <w:lang w:val="en-US"/>
        </w:rPr>
        <w:t xml:space="preserve"> and social protection of population of Tajikistan the funds of social insurance at the amount of 854,7 million TJS , to compare with 2010 it grew by  27,4%.</w:t>
      </w:r>
    </w:p>
    <w:p w:rsidR="00766A11" w:rsidRPr="00026244" w:rsidRDefault="00766A11" w:rsidP="00545D59">
      <w:pPr>
        <w:spacing w:after="0"/>
        <w:ind w:firstLine="567"/>
        <w:jc w:val="both"/>
        <w:rPr>
          <w:rFonts w:ascii="Palatino Linotype" w:hAnsi="Palatino Linotype"/>
          <w:b/>
          <w:color w:val="8064A2"/>
          <w:lang w:val="en-US"/>
        </w:rPr>
      </w:pPr>
    </w:p>
    <w:p w:rsidR="00766A11" w:rsidRPr="00026244" w:rsidRDefault="00766A11" w:rsidP="00545D59">
      <w:pPr>
        <w:spacing w:after="0"/>
        <w:ind w:firstLine="567"/>
        <w:jc w:val="both"/>
        <w:rPr>
          <w:rFonts w:ascii="Palatino Linotype" w:hAnsi="Palatino Linotype"/>
          <w:b/>
          <w:i/>
          <w:color w:val="8064A2"/>
          <w:lang w:val="en-US"/>
        </w:rPr>
      </w:pPr>
    </w:p>
    <w:p w:rsidR="00FB5F40" w:rsidRPr="00026244" w:rsidRDefault="00FB5F40" w:rsidP="00545D59">
      <w:pPr>
        <w:spacing w:after="0"/>
        <w:ind w:firstLine="567"/>
        <w:jc w:val="both"/>
        <w:rPr>
          <w:rFonts w:ascii="Palatino Linotype" w:hAnsi="Palatino Linotype"/>
          <w:color w:val="8064A2"/>
          <w:lang w:val="en-US"/>
        </w:rPr>
      </w:pPr>
      <w:proofErr w:type="gramStart"/>
      <w:r w:rsidRPr="00026244">
        <w:rPr>
          <w:rFonts w:ascii="Palatino Linotype" w:hAnsi="Palatino Linotype"/>
          <w:b/>
          <w:i/>
          <w:color w:val="8064A2"/>
          <w:sz w:val="28"/>
          <w:szCs w:val="28"/>
          <w:lang w:val="en-US"/>
        </w:rPr>
        <w:t>Budget sphere</w:t>
      </w:r>
      <w:r w:rsidRPr="00026244">
        <w:rPr>
          <w:rFonts w:ascii="Palatino Linotype" w:hAnsi="Palatino Linotype"/>
          <w:color w:val="8064A2"/>
          <w:sz w:val="28"/>
          <w:szCs w:val="28"/>
          <w:lang w:val="en-US"/>
        </w:rPr>
        <w:t>.</w:t>
      </w:r>
      <w:proofErr w:type="gramEnd"/>
    </w:p>
    <w:p w:rsidR="00FB5F40" w:rsidRPr="00026244" w:rsidRDefault="00FB5F40" w:rsidP="00545D59">
      <w:pPr>
        <w:spacing w:after="0"/>
        <w:ind w:firstLine="567"/>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r w:rsidRPr="00026244">
        <w:rPr>
          <w:rFonts w:ascii="Palatino Linotype" w:hAnsi="Palatino Linotype"/>
          <w:lang w:val="en-US"/>
        </w:rPr>
        <w:t xml:space="preserve">Servicing money flow of Executive State Authorities and budget organizations and rendering all types of banking services to them is entrusted to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Above all a fair volume of financial transactions for these authorities is conducted free of charge. </w:t>
      </w:r>
    </w:p>
    <w:p w:rsidR="00FB5F40" w:rsidRPr="00026244" w:rsidRDefault="00FB5F40" w:rsidP="00545D59">
      <w:pPr>
        <w:spacing w:after="0"/>
        <w:ind w:firstLine="284"/>
        <w:jc w:val="both"/>
        <w:rPr>
          <w:rFonts w:ascii="Palatino Linotype" w:hAnsi="Palatino Linotype"/>
        </w:rPr>
      </w:pPr>
      <w:r w:rsidRPr="00026244">
        <w:rPr>
          <w:rFonts w:ascii="Palatino Linotype" w:hAnsi="Palatino Linotype"/>
          <w:lang w:val="en-US"/>
        </w:rPr>
        <w:t>During 2011 to the transit accounts of Republican Budget was transferred 1 443,9 million TJS. Growth</w:t>
      </w:r>
      <w:r w:rsidRPr="00026244">
        <w:rPr>
          <w:rFonts w:ascii="Palatino Linotype" w:hAnsi="Palatino Linotype"/>
        </w:rPr>
        <w:t xml:space="preserve"> </w:t>
      </w:r>
      <w:r w:rsidRPr="00026244">
        <w:rPr>
          <w:rFonts w:ascii="Palatino Linotype" w:hAnsi="Palatino Linotype"/>
          <w:lang w:val="en-US"/>
        </w:rPr>
        <w:t>in</w:t>
      </w:r>
      <w:r w:rsidRPr="00026244">
        <w:rPr>
          <w:rFonts w:ascii="Palatino Linotype" w:hAnsi="Palatino Linotype"/>
        </w:rPr>
        <w:t xml:space="preserve"> </w:t>
      </w:r>
      <w:r w:rsidRPr="00026244">
        <w:rPr>
          <w:rFonts w:ascii="Palatino Linotype" w:hAnsi="Palatino Linotype"/>
          <w:lang w:val="en-US"/>
        </w:rPr>
        <w:t>comparison</w:t>
      </w:r>
      <w:r w:rsidRPr="00026244">
        <w:rPr>
          <w:rFonts w:ascii="Palatino Linotype" w:hAnsi="Palatino Linotype"/>
        </w:rPr>
        <w:t xml:space="preserve"> </w:t>
      </w:r>
      <w:r w:rsidRPr="00026244">
        <w:rPr>
          <w:rFonts w:ascii="Palatino Linotype" w:hAnsi="Palatino Linotype"/>
          <w:lang w:val="en-US"/>
        </w:rPr>
        <w:t>with</w:t>
      </w:r>
      <w:r w:rsidRPr="00026244">
        <w:rPr>
          <w:rFonts w:ascii="Palatino Linotype" w:hAnsi="Palatino Linotype"/>
        </w:rPr>
        <w:t xml:space="preserve"> 2010 </w:t>
      </w:r>
      <w:r w:rsidRPr="00026244">
        <w:rPr>
          <w:rFonts w:ascii="Palatino Linotype" w:hAnsi="Palatino Linotype"/>
          <w:lang w:val="en-US"/>
        </w:rPr>
        <w:t>amounts</w:t>
      </w:r>
      <w:r w:rsidRPr="00026244">
        <w:rPr>
          <w:rFonts w:ascii="Palatino Linotype" w:hAnsi="Palatino Linotype"/>
        </w:rPr>
        <w:t xml:space="preserve"> </w:t>
      </w:r>
      <w:r w:rsidRPr="00026244">
        <w:rPr>
          <w:rFonts w:ascii="Palatino Linotype" w:hAnsi="Palatino Linotype"/>
          <w:lang w:val="en-US"/>
        </w:rPr>
        <w:t>to</w:t>
      </w:r>
      <w:r w:rsidRPr="00026244">
        <w:rPr>
          <w:rFonts w:ascii="Palatino Linotype" w:hAnsi="Palatino Linotype"/>
        </w:rPr>
        <w:t xml:space="preserve"> 20</w:t>
      </w:r>
      <w:proofErr w:type="gramStart"/>
      <w:r w:rsidRPr="00026244">
        <w:rPr>
          <w:rFonts w:ascii="Palatino Linotype" w:hAnsi="Palatino Linotype"/>
        </w:rPr>
        <w:t>,6</w:t>
      </w:r>
      <w:proofErr w:type="gramEnd"/>
      <w:r w:rsidRPr="00026244">
        <w:rPr>
          <w:rFonts w:ascii="Palatino Linotype" w:hAnsi="Palatino Linotype"/>
        </w:rPr>
        <w:t>%.</w:t>
      </w: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B077F7" w:rsidRPr="00026244" w:rsidRDefault="00B077F7" w:rsidP="00545D59">
      <w:pPr>
        <w:spacing w:after="0"/>
        <w:ind w:firstLine="284"/>
        <w:jc w:val="both"/>
        <w:rPr>
          <w:rFonts w:ascii="Palatino Linotype" w:hAnsi="Palatino Linotype"/>
        </w:rPr>
      </w:pPr>
    </w:p>
    <w:p w:rsidR="00B077F7" w:rsidRPr="00026244" w:rsidRDefault="00B077F7"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r w:rsidRPr="00026244">
        <w:rPr>
          <w:rFonts w:ascii="Palatino Linotype" w:hAnsi="Palatino Linotype"/>
        </w:rPr>
        <w:t xml:space="preserve">По состоянию 31 декабря 2011  года количество бюджетных организаций, обслуживаемых </w:t>
      </w:r>
      <w:proofErr w:type="spellStart"/>
      <w:r w:rsidRPr="00026244">
        <w:rPr>
          <w:rFonts w:ascii="Palatino Linotype" w:hAnsi="Palatino Linotype"/>
        </w:rPr>
        <w:t>Амонатбонком</w:t>
      </w:r>
      <w:proofErr w:type="spellEnd"/>
      <w:r w:rsidRPr="00026244">
        <w:rPr>
          <w:rFonts w:ascii="Palatino Linotype" w:hAnsi="Palatino Linotype"/>
        </w:rPr>
        <w:t>, составило 5535 единиц.</w:t>
      </w:r>
    </w:p>
    <w:p w:rsidR="00FB5F40" w:rsidRPr="00026244" w:rsidRDefault="00FB5F40" w:rsidP="009B445A">
      <w:pPr>
        <w:spacing w:after="0"/>
        <w:ind w:firstLine="284"/>
        <w:jc w:val="both"/>
        <w:rPr>
          <w:rFonts w:ascii="Palatino Linotype" w:hAnsi="Palatino Linotype"/>
        </w:rPr>
      </w:pPr>
      <w:r w:rsidRPr="00026244">
        <w:rPr>
          <w:rFonts w:ascii="Palatino Linotype" w:hAnsi="Palatino Linotype"/>
        </w:rPr>
        <w:t xml:space="preserve">В отчетном году среднемесячная потребность бюджетных организаций составила 133,2 млн. </w:t>
      </w:r>
      <w:proofErr w:type="spellStart"/>
      <w:r w:rsidRPr="00026244">
        <w:rPr>
          <w:rFonts w:ascii="Palatino Linotype" w:hAnsi="Palatino Linotype"/>
        </w:rPr>
        <w:t>сомони</w:t>
      </w:r>
      <w:proofErr w:type="spellEnd"/>
      <w:r w:rsidRPr="00026244">
        <w:rPr>
          <w:rFonts w:ascii="Palatino Linotype" w:hAnsi="Palatino Linotype"/>
        </w:rPr>
        <w:t>, что по сравнению с 2010 годом прирост составил 20,1%.</w:t>
      </w: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rPr>
      </w:pPr>
    </w:p>
    <w:p w:rsidR="00766A11" w:rsidRPr="00026244" w:rsidRDefault="00766A11" w:rsidP="009B445A">
      <w:pPr>
        <w:spacing w:after="0"/>
        <w:ind w:firstLine="284"/>
        <w:jc w:val="both"/>
        <w:rPr>
          <w:rFonts w:ascii="Palatino Linotype" w:hAnsi="Palatino Linotype"/>
        </w:rPr>
      </w:pPr>
    </w:p>
    <w:p w:rsidR="00FB5F40" w:rsidRPr="00026244" w:rsidRDefault="00FB5F40" w:rsidP="009B445A">
      <w:pPr>
        <w:spacing w:after="0"/>
        <w:ind w:firstLine="284"/>
        <w:jc w:val="both"/>
        <w:rPr>
          <w:rFonts w:ascii="Palatino Linotype" w:hAnsi="Palatino Linotype"/>
          <w:lang w:val="en-US"/>
        </w:rPr>
      </w:pPr>
      <w:r w:rsidRPr="00026244">
        <w:rPr>
          <w:rFonts w:ascii="Palatino Linotype" w:hAnsi="Palatino Linotype"/>
          <w:lang w:val="en-US"/>
        </w:rPr>
        <w:t xml:space="preserve">As of December 31, 2011 the number of budget organizations served by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amounted to 5 535. </w:t>
      </w:r>
    </w:p>
    <w:p w:rsidR="00FB5F40" w:rsidRPr="00026244" w:rsidRDefault="00FB5F40" w:rsidP="009B445A">
      <w:pPr>
        <w:spacing w:after="0"/>
        <w:ind w:firstLine="284"/>
        <w:jc w:val="both"/>
        <w:rPr>
          <w:rFonts w:ascii="Palatino Linotype" w:hAnsi="Palatino Linotype"/>
          <w:lang w:val="en-US"/>
        </w:rPr>
      </w:pPr>
    </w:p>
    <w:p w:rsidR="00FB5F40" w:rsidRPr="00026244" w:rsidRDefault="00FB5F40" w:rsidP="009B445A">
      <w:pPr>
        <w:spacing w:after="0"/>
        <w:ind w:firstLine="284"/>
        <w:jc w:val="both"/>
        <w:rPr>
          <w:rFonts w:ascii="Palatino Linotype" w:hAnsi="Palatino Linotype"/>
          <w:lang w:val="en-US"/>
        </w:rPr>
      </w:pPr>
      <w:r w:rsidRPr="00026244">
        <w:rPr>
          <w:rFonts w:ascii="Palatino Linotype" w:hAnsi="Palatino Linotype"/>
          <w:lang w:val="en-US"/>
        </w:rPr>
        <w:t>In the reporting year average demand of budget organizations amounted to 133,2 million TJS which in comparison with the past year grew by 20,1%.</w:t>
      </w: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C47109">
      <w:pPr>
        <w:spacing w:after="0"/>
        <w:jc w:val="both"/>
        <w:rPr>
          <w:rFonts w:ascii="Palatino Linotype" w:hAnsi="Palatino Linotype"/>
          <w:sz w:val="24"/>
          <w:szCs w:val="24"/>
        </w:rPr>
      </w:pPr>
      <w:r w:rsidRPr="00026244">
        <w:rPr>
          <w:rFonts w:ascii="Palatino Linotype" w:hAnsi="Palatino Linotype"/>
          <w:b/>
          <w:i/>
          <w:sz w:val="28"/>
          <w:szCs w:val="28"/>
        </w:rPr>
        <w:lastRenderedPageBreak/>
        <w:t>Социальные выплаты и услуги</w:t>
      </w:r>
      <w:r w:rsidRPr="00026244">
        <w:rPr>
          <w:rFonts w:ascii="Palatino Linotype" w:hAnsi="Palatino Linotype"/>
          <w:sz w:val="28"/>
          <w:szCs w:val="28"/>
        </w:rPr>
        <w:t>.</w:t>
      </w:r>
    </w:p>
    <w:p w:rsidR="00FB5F40" w:rsidRPr="00026244" w:rsidRDefault="00FB5F40" w:rsidP="00C47109">
      <w:pPr>
        <w:spacing w:after="0"/>
        <w:jc w:val="both"/>
        <w:rPr>
          <w:rFonts w:ascii="Palatino Linotype" w:hAnsi="Palatino Linotype"/>
          <w:sz w:val="24"/>
          <w:szCs w:val="24"/>
        </w:rPr>
      </w:pPr>
    </w:p>
    <w:p w:rsidR="00FB5F40" w:rsidRPr="00026244" w:rsidRDefault="00FB5F40" w:rsidP="00B817D2">
      <w:pPr>
        <w:spacing w:after="0"/>
        <w:ind w:firstLine="567"/>
        <w:jc w:val="both"/>
        <w:rPr>
          <w:rFonts w:ascii="Palatino Linotype" w:hAnsi="Palatino Linotype"/>
        </w:rPr>
      </w:pPr>
      <w:r w:rsidRPr="00026244">
        <w:rPr>
          <w:rFonts w:ascii="Palatino Linotype" w:hAnsi="Palatino Linotype"/>
        </w:rPr>
        <w:t>Банк производит различные виды социальных выплат государственного значения таких как:</w:t>
      </w:r>
    </w:p>
    <w:p w:rsidR="00FB5F40" w:rsidRPr="00026244" w:rsidRDefault="00FB5F40" w:rsidP="00B817D2">
      <w:pPr>
        <w:pStyle w:val="a3"/>
        <w:numPr>
          <w:ilvl w:val="0"/>
          <w:numId w:val="8"/>
        </w:numPr>
        <w:spacing w:after="0"/>
        <w:ind w:left="0" w:hanging="142"/>
        <w:jc w:val="both"/>
        <w:rPr>
          <w:rFonts w:ascii="Palatino Linotype" w:hAnsi="Palatino Linotype"/>
        </w:rPr>
      </w:pPr>
      <w:r w:rsidRPr="00026244">
        <w:rPr>
          <w:rFonts w:ascii="Palatino Linotype" w:hAnsi="Palatino Linotype"/>
        </w:rPr>
        <w:t xml:space="preserve">Выплата государственных компенсаций  для возмещения расходов за пользование электроэнергией и природным газом малообеспеченным семьям. За 2011 год выплачено  27 </w:t>
      </w:r>
      <w:proofErr w:type="spellStart"/>
      <w:r w:rsidRPr="00026244">
        <w:rPr>
          <w:rFonts w:ascii="Palatino Linotype" w:hAnsi="Palatino Linotype"/>
        </w:rPr>
        <w:t>млн.сомони</w:t>
      </w:r>
      <w:proofErr w:type="spellEnd"/>
      <w:r w:rsidRPr="00026244">
        <w:rPr>
          <w:rFonts w:ascii="Palatino Linotype" w:hAnsi="Palatino Linotype"/>
        </w:rPr>
        <w:t xml:space="preserve">.    </w:t>
      </w:r>
    </w:p>
    <w:p w:rsidR="00FB5F40" w:rsidRPr="00026244" w:rsidRDefault="00FB5F40" w:rsidP="00B817D2">
      <w:pPr>
        <w:pStyle w:val="a3"/>
        <w:numPr>
          <w:ilvl w:val="0"/>
          <w:numId w:val="8"/>
        </w:numPr>
        <w:spacing w:after="0"/>
        <w:ind w:left="0" w:firstLine="0"/>
        <w:jc w:val="both"/>
        <w:rPr>
          <w:rFonts w:ascii="Palatino Linotype" w:hAnsi="Palatino Linotype"/>
        </w:rPr>
      </w:pPr>
      <w:r w:rsidRPr="00026244">
        <w:rPr>
          <w:rFonts w:ascii="Palatino Linotype" w:hAnsi="Palatino Linotype"/>
        </w:rPr>
        <w:t xml:space="preserve">Выплаты материальной помощи и компенсаций  пострадавшим в стихийных бедствиях и вынужденным переселенцам.  В январе 2009 года Правительство   Республики  Таджикистан приняло   Постановление № 47 «О переселении из зоны затопления населения г. </w:t>
      </w:r>
      <w:proofErr w:type="spellStart"/>
      <w:r w:rsidRPr="00026244">
        <w:rPr>
          <w:rFonts w:ascii="Palatino Linotype" w:hAnsi="Palatino Linotype"/>
        </w:rPr>
        <w:t>Рогуна</w:t>
      </w:r>
      <w:proofErr w:type="spellEnd"/>
      <w:r w:rsidRPr="00026244">
        <w:rPr>
          <w:rFonts w:ascii="Palatino Linotype" w:hAnsi="Palatino Linotype"/>
        </w:rPr>
        <w:t xml:space="preserve"> и </w:t>
      </w:r>
      <w:proofErr w:type="spellStart"/>
      <w:r w:rsidRPr="00026244">
        <w:rPr>
          <w:rFonts w:ascii="Palatino Linotype" w:hAnsi="Palatino Linotype"/>
        </w:rPr>
        <w:t>Нурабадского</w:t>
      </w:r>
      <w:proofErr w:type="spellEnd"/>
      <w:r w:rsidRPr="00026244">
        <w:rPr>
          <w:rFonts w:ascii="Palatino Linotype" w:hAnsi="Palatino Linotype"/>
        </w:rPr>
        <w:t xml:space="preserve"> района». На основании данного постановления  между ГСБ РТ «</w:t>
      </w:r>
      <w:proofErr w:type="spellStart"/>
      <w:r w:rsidRPr="00026244">
        <w:rPr>
          <w:rFonts w:ascii="Palatino Linotype" w:hAnsi="Palatino Linotype"/>
        </w:rPr>
        <w:t>Амонатбонк</w:t>
      </w:r>
      <w:proofErr w:type="spellEnd"/>
      <w:r w:rsidRPr="00026244">
        <w:rPr>
          <w:rFonts w:ascii="Palatino Linotype" w:hAnsi="Palatino Linotype"/>
        </w:rPr>
        <w:t xml:space="preserve">» и Дирекцией зоны затопления </w:t>
      </w:r>
      <w:proofErr w:type="spellStart"/>
      <w:r w:rsidRPr="00026244">
        <w:rPr>
          <w:rFonts w:ascii="Palatino Linotype" w:hAnsi="Palatino Linotype"/>
        </w:rPr>
        <w:t>Рогунской</w:t>
      </w:r>
      <w:proofErr w:type="spellEnd"/>
      <w:r w:rsidRPr="00026244">
        <w:rPr>
          <w:rFonts w:ascii="Palatino Linotype" w:hAnsi="Palatino Linotype"/>
        </w:rPr>
        <w:t xml:space="preserve"> ГЭС заключен договор, согласно которому Амонатбанк является агентом по оказанию банковских услуг переселенцам (открытие  депозитных счетов переселенцам и  расчётно-кассовое обслуживание).  </w:t>
      </w:r>
    </w:p>
    <w:p w:rsidR="00FB5F40" w:rsidRPr="00026244" w:rsidRDefault="00FB5F40" w:rsidP="00B817D2">
      <w:pPr>
        <w:spacing w:after="0"/>
        <w:ind w:hanging="284"/>
        <w:jc w:val="both"/>
        <w:rPr>
          <w:rFonts w:ascii="Palatino Linotype" w:hAnsi="Palatino Linotype"/>
        </w:rPr>
      </w:pPr>
      <w:r w:rsidRPr="00026244">
        <w:rPr>
          <w:rFonts w:ascii="Palatino Linotype" w:hAnsi="Palatino Linotype"/>
        </w:rPr>
        <w:t xml:space="preserve">            Начиная с 2009 года по 2011 год включительно  из бюджета страны было выделено переселенцам для строительства жилых домов на сумму 91970 тыс. </w:t>
      </w:r>
      <w:proofErr w:type="spellStart"/>
      <w:r w:rsidRPr="00026244">
        <w:rPr>
          <w:rFonts w:ascii="Palatino Linotype" w:hAnsi="Palatino Linotype"/>
        </w:rPr>
        <w:t>сомони</w:t>
      </w:r>
      <w:proofErr w:type="spellEnd"/>
      <w:r w:rsidRPr="00026244">
        <w:rPr>
          <w:rFonts w:ascii="Palatino Linotype" w:hAnsi="Palatino Linotype"/>
        </w:rPr>
        <w:t xml:space="preserve">, в том числе только за 2011 год  78 617 тыс. </w:t>
      </w:r>
      <w:proofErr w:type="spellStart"/>
      <w:r w:rsidRPr="00026244">
        <w:rPr>
          <w:rFonts w:ascii="Palatino Linotype" w:hAnsi="Palatino Linotype"/>
        </w:rPr>
        <w:t>сомони</w:t>
      </w:r>
      <w:proofErr w:type="spellEnd"/>
      <w:r w:rsidRPr="00026244">
        <w:rPr>
          <w:rFonts w:ascii="Palatino Linotype" w:hAnsi="Palatino Linotype"/>
        </w:rPr>
        <w:t xml:space="preserve">. Это связано с переселением населения города </w:t>
      </w:r>
      <w:proofErr w:type="spellStart"/>
      <w:r w:rsidRPr="00026244">
        <w:rPr>
          <w:rFonts w:ascii="Palatino Linotype" w:hAnsi="Palatino Linotype"/>
        </w:rPr>
        <w:t>Рогуна</w:t>
      </w:r>
      <w:proofErr w:type="spellEnd"/>
      <w:r w:rsidRPr="00026244">
        <w:rPr>
          <w:rFonts w:ascii="Palatino Linotype" w:hAnsi="Palatino Linotype"/>
        </w:rPr>
        <w:t xml:space="preserve"> из зоны затопления. </w:t>
      </w:r>
    </w:p>
    <w:p w:rsidR="00FB5F40" w:rsidRPr="00026244" w:rsidRDefault="00FB5F40" w:rsidP="00B817D2">
      <w:pPr>
        <w:pStyle w:val="a3"/>
        <w:numPr>
          <w:ilvl w:val="0"/>
          <w:numId w:val="8"/>
        </w:numPr>
        <w:spacing w:after="0"/>
        <w:ind w:left="0" w:firstLine="0"/>
        <w:jc w:val="both"/>
        <w:rPr>
          <w:rFonts w:ascii="Palatino Linotype" w:hAnsi="Palatino Linotype"/>
        </w:rPr>
      </w:pPr>
      <w:r w:rsidRPr="00026244">
        <w:rPr>
          <w:rFonts w:ascii="Palatino Linotype" w:hAnsi="Palatino Linotype"/>
        </w:rPr>
        <w:t xml:space="preserve">выплата средств, выделенных Министерством финансов РТ участникам и инвалидам ВОВ и семьям погибших.  В 2011 году  было выплачено      382   тысячи </w:t>
      </w:r>
      <w:proofErr w:type="spellStart"/>
      <w:r w:rsidRPr="00026244">
        <w:rPr>
          <w:rFonts w:ascii="Palatino Linotype" w:hAnsi="Palatino Linotype"/>
        </w:rPr>
        <w:t>сомони</w:t>
      </w:r>
      <w:proofErr w:type="spellEnd"/>
      <w:r w:rsidRPr="00026244">
        <w:rPr>
          <w:rFonts w:ascii="Palatino Linotype" w:hAnsi="Palatino Linotype"/>
        </w:rPr>
        <w:t>.</w:t>
      </w:r>
    </w:p>
    <w:p w:rsidR="00FB5F40" w:rsidRPr="00026244" w:rsidRDefault="00FB5F40" w:rsidP="00CF1EDA">
      <w:pPr>
        <w:spacing w:after="0"/>
        <w:jc w:val="both"/>
        <w:rPr>
          <w:rFonts w:ascii="Palatino Linotype" w:hAnsi="Palatino Linotype"/>
        </w:rPr>
      </w:pPr>
    </w:p>
    <w:p w:rsidR="00FB5F40" w:rsidRPr="00026244" w:rsidRDefault="00FB5F40" w:rsidP="00CF1EDA">
      <w:pPr>
        <w:spacing w:after="0"/>
        <w:jc w:val="both"/>
        <w:rPr>
          <w:rFonts w:ascii="Palatino Linotype" w:hAnsi="Palatino Linotype"/>
        </w:rPr>
      </w:pPr>
    </w:p>
    <w:p w:rsidR="00FB5F40" w:rsidRPr="00026244" w:rsidRDefault="00FB5F40" w:rsidP="00CF1EDA">
      <w:pPr>
        <w:spacing w:after="0"/>
        <w:jc w:val="both"/>
        <w:rPr>
          <w:rFonts w:ascii="Palatino Linotype" w:hAnsi="Palatino Linotype"/>
        </w:rPr>
      </w:pPr>
    </w:p>
    <w:p w:rsidR="00FB5F40" w:rsidRPr="00026244" w:rsidRDefault="00FB5F40" w:rsidP="00CF1EDA">
      <w:pPr>
        <w:spacing w:after="0"/>
        <w:jc w:val="both"/>
        <w:rPr>
          <w:rFonts w:ascii="Palatino Linotype" w:hAnsi="Palatino Linotype"/>
        </w:rPr>
      </w:pPr>
    </w:p>
    <w:p w:rsidR="00FB5F40" w:rsidRPr="00026244" w:rsidRDefault="00FB5F40" w:rsidP="00C47109">
      <w:pPr>
        <w:spacing w:after="0"/>
        <w:ind w:firstLine="567"/>
        <w:jc w:val="both"/>
        <w:rPr>
          <w:rFonts w:ascii="Palatino Linotype" w:hAnsi="Palatino Linotype"/>
          <w:color w:val="8064A2"/>
          <w:sz w:val="20"/>
          <w:szCs w:val="20"/>
        </w:rPr>
      </w:pPr>
      <w:r w:rsidRPr="00026244">
        <w:rPr>
          <w:rFonts w:ascii="Palatino Linotype" w:hAnsi="Palatino Linotype"/>
          <w:b/>
          <w:i/>
          <w:color w:val="8064A2"/>
          <w:sz w:val="28"/>
          <w:szCs w:val="28"/>
          <w:lang w:val="en-US"/>
        </w:rPr>
        <w:lastRenderedPageBreak/>
        <w:t>Social payments and services</w:t>
      </w:r>
      <w:r w:rsidRPr="00026244">
        <w:rPr>
          <w:rFonts w:ascii="Palatino Linotype" w:hAnsi="Palatino Linotype"/>
          <w:color w:val="8064A2"/>
          <w:sz w:val="28"/>
          <w:szCs w:val="28"/>
          <w:lang w:val="en-US"/>
        </w:rPr>
        <w:t>.</w:t>
      </w:r>
    </w:p>
    <w:p w:rsidR="00FB5F40" w:rsidRPr="00026244" w:rsidRDefault="00FB5F40" w:rsidP="00C47109">
      <w:pPr>
        <w:spacing w:after="0"/>
        <w:ind w:firstLine="567"/>
        <w:jc w:val="both"/>
        <w:rPr>
          <w:rFonts w:ascii="Palatino Linotype" w:hAnsi="Palatino Linotype"/>
          <w:sz w:val="20"/>
          <w:szCs w:val="20"/>
        </w:rPr>
      </w:pPr>
    </w:p>
    <w:p w:rsidR="00FB5F40" w:rsidRPr="00026244" w:rsidRDefault="00FB5F40" w:rsidP="00B817D2">
      <w:pPr>
        <w:spacing w:after="0"/>
        <w:ind w:firstLine="142"/>
        <w:jc w:val="both"/>
        <w:rPr>
          <w:rFonts w:ascii="Palatino Linotype" w:hAnsi="Palatino Linotype"/>
          <w:lang w:val="en-US"/>
        </w:rPr>
      </w:pP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makes different types of social payments of Government level, such as:  </w:t>
      </w:r>
    </w:p>
    <w:p w:rsidR="00FB5F40" w:rsidRPr="00026244" w:rsidRDefault="00FB5F40" w:rsidP="00B817D2">
      <w:pPr>
        <w:pStyle w:val="a3"/>
        <w:numPr>
          <w:ilvl w:val="0"/>
          <w:numId w:val="8"/>
        </w:numPr>
        <w:tabs>
          <w:tab w:val="left" w:pos="426"/>
        </w:tabs>
        <w:spacing w:after="0"/>
        <w:ind w:left="0" w:firstLine="142"/>
        <w:jc w:val="both"/>
        <w:rPr>
          <w:rFonts w:ascii="Palatino Linotype" w:hAnsi="Palatino Linotype"/>
          <w:lang w:val="en-US"/>
        </w:rPr>
      </w:pPr>
      <w:r w:rsidRPr="00026244">
        <w:rPr>
          <w:rFonts w:ascii="Palatino Linotype" w:hAnsi="Palatino Linotype"/>
          <w:lang w:val="en-US"/>
        </w:rPr>
        <w:t xml:space="preserve">Payment of compensations for covering electricity and natural gas expenses to the needy families. During 2011 it amounted to  27 million TJS.   </w:t>
      </w:r>
    </w:p>
    <w:p w:rsidR="00FB5F40" w:rsidRPr="00026244" w:rsidRDefault="00FB5F40" w:rsidP="00B817D2">
      <w:pPr>
        <w:pStyle w:val="a3"/>
        <w:tabs>
          <w:tab w:val="left" w:pos="426"/>
        </w:tabs>
        <w:spacing w:after="0"/>
        <w:ind w:left="0" w:firstLine="142"/>
        <w:jc w:val="both"/>
        <w:rPr>
          <w:rFonts w:ascii="Palatino Linotype" w:hAnsi="Palatino Linotype"/>
          <w:lang w:val="en-US"/>
        </w:rPr>
      </w:pPr>
    </w:p>
    <w:p w:rsidR="00FB5F40" w:rsidRPr="00026244" w:rsidRDefault="00FB5F40" w:rsidP="00B817D2">
      <w:pPr>
        <w:pStyle w:val="a3"/>
        <w:numPr>
          <w:ilvl w:val="0"/>
          <w:numId w:val="8"/>
        </w:numPr>
        <w:tabs>
          <w:tab w:val="left" w:pos="426"/>
        </w:tabs>
        <w:spacing w:after="0"/>
        <w:ind w:left="0" w:firstLine="142"/>
        <w:jc w:val="both"/>
        <w:rPr>
          <w:rFonts w:ascii="Palatino Linotype" w:hAnsi="Palatino Linotype"/>
          <w:lang w:val="en-US"/>
        </w:rPr>
      </w:pPr>
      <w:r w:rsidRPr="00026244">
        <w:rPr>
          <w:rFonts w:ascii="Palatino Linotype" w:hAnsi="Palatino Linotype"/>
          <w:lang w:val="en-US"/>
        </w:rPr>
        <w:t xml:space="preserve">Payment of material assistance and compensations to the victims of natural disasters and involuntary migrants.  In January, 2009  the Government of the Republic of Tajikistan made Resolution № 47 “About resettling from the flooded area of </w:t>
      </w:r>
      <w:proofErr w:type="spellStart"/>
      <w:r w:rsidRPr="00026244">
        <w:rPr>
          <w:rFonts w:ascii="Palatino Linotype" w:hAnsi="Palatino Linotype"/>
          <w:lang w:val="en-US"/>
        </w:rPr>
        <w:t>Ragun</w:t>
      </w:r>
      <w:proofErr w:type="spellEnd"/>
      <w:r w:rsidRPr="00026244">
        <w:rPr>
          <w:rFonts w:ascii="Palatino Linotype" w:hAnsi="Palatino Linotype"/>
          <w:lang w:val="en-US"/>
        </w:rPr>
        <w:t xml:space="preserve"> and </w:t>
      </w:r>
      <w:proofErr w:type="spellStart"/>
      <w:r w:rsidRPr="00026244">
        <w:rPr>
          <w:rFonts w:ascii="Palatino Linotype" w:hAnsi="Palatino Linotype"/>
          <w:lang w:val="en-US"/>
        </w:rPr>
        <w:t>Nurabad</w:t>
      </w:r>
      <w:proofErr w:type="spellEnd"/>
      <w:r w:rsidRPr="00026244">
        <w:rPr>
          <w:rFonts w:ascii="Palatino Linotype" w:hAnsi="Palatino Linotype"/>
          <w:lang w:val="en-US"/>
        </w:rPr>
        <w:t xml:space="preserve"> district”.  In accordance with this Resolution between the SSB RT “</w:t>
      </w:r>
      <w:proofErr w:type="spellStart"/>
      <w:r w:rsidRPr="00026244">
        <w:rPr>
          <w:rFonts w:ascii="Palatino Linotype" w:hAnsi="Palatino Linotype"/>
          <w:lang w:val="en-US"/>
        </w:rPr>
        <w:t>Amonatbonk</w:t>
      </w:r>
      <w:proofErr w:type="spellEnd"/>
      <w:r w:rsidRPr="00026244">
        <w:rPr>
          <w:rFonts w:ascii="Palatino Linotype" w:hAnsi="Palatino Linotype"/>
          <w:lang w:val="en-US"/>
        </w:rPr>
        <w:t xml:space="preserve">” and Administration of flooded area of </w:t>
      </w:r>
      <w:proofErr w:type="spellStart"/>
      <w:r w:rsidRPr="00026244">
        <w:rPr>
          <w:rFonts w:ascii="Palatino Linotype" w:hAnsi="Palatino Linotype"/>
          <w:lang w:val="en-US"/>
        </w:rPr>
        <w:t>Ragun</w:t>
      </w:r>
      <w:proofErr w:type="spellEnd"/>
      <w:r w:rsidRPr="00026244">
        <w:rPr>
          <w:rFonts w:ascii="Palatino Linotype" w:hAnsi="Palatino Linotype"/>
          <w:lang w:val="en-US"/>
        </w:rPr>
        <w:t xml:space="preserve"> Hydro Power Station was concluded Agreement about assigning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as an agent for rendering banking services to resettled citizens (opening deposit accounts and rendering cash services to resettled people).  </w:t>
      </w:r>
    </w:p>
    <w:p w:rsidR="00FB5F40" w:rsidRPr="00026244" w:rsidRDefault="00FB5F40" w:rsidP="00B817D2">
      <w:pPr>
        <w:pStyle w:val="a3"/>
        <w:rPr>
          <w:rFonts w:ascii="Palatino Linotype" w:hAnsi="Palatino Linotype"/>
          <w:lang w:val="en-US"/>
        </w:rPr>
      </w:pPr>
    </w:p>
    <w:p w:rsidR="00FB5F40" w:rsidRPr="00026244" w:rsidRDefault="00FB5F40" w:rsidP="00B817D2">
      <w:pPr>
        <w:pStyle w:val="a3"/>
        <w:tabs>
          <w:tab w:val="left" w:pos="426"/>
        </w:tabs>
        <w:spacing w:after="0"/>
        <w:ind w:left="142"/>
        <w:jc w:val="both"/>
        <w:rPr>
          <w:rFonts w:ascii="Palatino Linotype" w:hAnsi="Palatino Linotype"/>
          <w:lang w:val="en-US"/>
        </w:rPr>
      </w:pPr>
    </w:p>
    <w:p w:rsidR="00FB5F40" w:rsidRPr="00026244" w:rsidRDefault="00FB5F40" w:rsidP="00B817D2">
      <w:pPr>
        <w:tabs>
          <w:tab w:val="left" w:pos="426"/>
        </w:tabs>
        <w:spacing w:after="0"/>
        <w:ind w:firstLine="142"/>
        <w:jc w:val="both"/>
        <w:rPr>
          <w:rFonts w:ascii="Palatino Linotype" w:hAnsi="Palatino Linotype"/>
          <w:lang w:val="en-US"/>
        </w:rPr>
      </w:pPr>
      <w:r w:rsidRPr="00026244">
        <w:rPr>
          <w:rFonts w:ascii="Palatino Linotype" w:hAnsi="Palatino Linotype"/>
          <w:lang w:val="en-US"/>
        </w:rPr>
        <w:t xml:space="preserve"> Beginning from 2009 to 2011 inclusive from the budget of the country was allocated 91 970 thousand TJS to resettled people for constructing houses and only 2011 was paid 78 617 thousand TJS. It is all related to resettling people from flooded area of </w:t>
      </w:r>
      <w:proofErr w:type="spellStart"/>
      <w:r w:rsidRPr="00026244">
        <w:rPr>
          <w:rFonts w:ascii="Palatino Linotype" w:hAnsi="Palatino Linotype"/>
          <w:lang w:val="en-US"/>
        </w:rPr>
        <w:t>Ragun</w:t>
      </w:r>
      <w:proofErr w:type="spellEnd"/>
      <w:r w:rsidRPr="00026244">
        <w:rPr>
          <w:rFonts w:ascii="Palatino Linotype" w:hAnsi="Palatino Linotype"/>
          <w:lang w:val="en-US"/>
        </w:rPr>
        <w:t xml:space="preserve">. </w:t>
      </w:r>
    </w:p>
    <w:p w:rsidR="00FB5F40" w:rsidRPr="00026244" w:rsidRDefault="00FB5F40" w:rsidP="00B817D2">
      <w:pPr>
        <w:tabs>
          <w:tab w:val="left" w:pos="426"/>
        </w:tabs>
        <w:spacing w:after="0"/>
        <w:ind w:firstLine="142"/>
        <w:jc w:val="both"/>
        <w:rPr>
          <w:rFonts w:ascii="Palatino Linotype" w:hAnsi="Palatino Linotype"/>
          <w:lang w:val="en-US"/>
        </w:rPr>
      </w:pPr>
    </w:p>
    <w:p w:rsidR="00FB5F40" w:rsidRPr="00026244" w:rsidRDefault="00FB5F40" w:rsidP="00B817D2">
      <w:pPr>
        <w:pStyle w:val="a3"/>
        <w:numPr>
          <w:ilvl w:val="0"/>
          <w:numId w:val="9"/>
        </w:numPr>
        <w:spacing w:after="0"/>
        <w:ind w:left="0" w:firstLine="0"/>
        <w:jc w:val="both"/>
        <w:rPr>
          <w:rFonts w:ascii="Palatino Linotype" w:hAnsi="Palatino Linotype"/>
          <w:lang w:val="en-US"/>
        </w:rPr>
      </w:pPr>
      <w:r w:rsidRPr="00026244">
        <w:rPr>
          <w:rFonts w:ascii="Palatino Linotype" w:hAnsi="Palatino Linotype"/>
          <w:lang w:val="en-US"/>
        </w:rPr>
        <w:t xml:space="preserve">Payment of funds allocated by the Ministry of Finance of Tajikistan to those who took part in the Grate Patriotic War, invalids and to families of decedents.  In 2011 to this category of people was paid out 382   thousand TJS. </w:t>
      </w:r>
    </w:p>
    <w:p w:rsidR="00FB5F40" w:rsidRPr="00026244" w:rsidRDefault="00FB5F40" w:rsidP="00CF1EDA">
      <w:pPr>
        <w:spacing w:after="0"/>
        <w:jc w:val="both"/>
        <w:rPr>
          <w:rFonts w:ascii="Palatino Linotype" w:hAnsi="Palatino Linotype"/>
          <w:lang w:val="en-US"/>
        </w:rPr>
      </w:pPr>
    </w:p>
    <w:p w:rsidR="00FB5F40" w:rsidRPr="00026244" w:rsidRDefault="00FB5F40" w:rsidP="00CF1EDA">
      <w:pPr>
        <w:spacing w:after="0"/>
        <w:jc w:val="both"/>
        <w:rPr>
          <w:rFonts w:ascii="Palatino Linotype" w:hAnsi="Palatino Linotype"/>
          <w:lang w:val="en-US"/>
        </w:rPr>
      </w:pPr>
    </w:p>
    <w:p w:rsidR="00FB5F40" w:rsidRPr="00026244" w:rsidRDefault="00FB5F40" w:rsidP="00CF1EDA">
      <w:pPr>
        <w:spacing w:after="0"/>
        <w:jc w:val="both"/>
        <w:rPr>
          <w:rFonts w:ascii="Palatino Linotype" w:hAnsi="Palatino Linotype"/>
          <w:lang w:val="en-US"/>
        </w:rPr>
      </w:pPr>
    </w:p>
    <w:p w:rsidR="00FB5F40" w:rsidRPr="00026244" w:rsidRDefault="00FB5F40" w:rsidP="00B817D2">
      <w:pPr>
        <w:pStyle w:val="a3"/>
        <w:numPr>
          <w:ilvl w:val="0"/>
          <w:numId w:val="9"/>
        </w:numPr>
        <w:spacing w:after="0"/>
        <w:ind w:left="0" w:firstLine="0"/>
        <w:jc w:val="both"/>
        <w:rPr>
          <w:rFonts w:ascii="Palatino Linotype" w:hAnsi="Palatino Linotype"/>
        </w:rPr>
      </w:pPr>
      <w:r w:rsidRPr="00026244">
        <w:rPr>
          <w:rFonts w:ascii="Palatino Linotype" w:hAnsi="Palatino Linotype"/>
        </w:rPr>
        <w:lastRenderedPageBreak/>
        <w:t xml:space="preserve">прием средств от населения за изготовление национальных паспортов и общегражданских загранпаспортов, которые в последующем перечисляются в республиканский бюджет. </w:t>
      </w:r>
    </w:p>
    <w:p w:rsidR="00FB5F40" w:rsidRPr="00026244" w:rsidRDefault="00FB5F40" w:rsidP="00B817D2">
      <w:pPr>
        <w:spacing w:after="0"/>
        <w:jc w:val="both"/>
        <w:rPr>
          <w:rFonts w:ascii="Palatino Linotype" w:hAnsi="Palatino Linotype"/>
        </w:rPr>
      </w:pPr>
      <w:r w:rsidRPr="00026244">
        <w:rPr>
          <w:rFonts w:ascii="Palatino Linotype" w:hAnsi="Palatino Linotype"/>
        </w:rPr>
        <w:t xml:space="preserve">Только за 2011 год общая сумма средств принятых от населения составила более 49 млн. </w:t>
      </w:r>
      <w:proofErr w:type="spellStart"/>
      <w:r w:rsidRPr="00026244">
        <w:rPr>
          <w:rFonts w:ascii="Palatino Linotype" w:hAnsi="Palatino Linotype"/>
        </w:rPr>
        <w:t>сомони</w:t>
      </w:r>
      <w:proofErr w:type="spellEnd"/>
      <w:r w:rsidRPr="00026244">
        <w:rPr>
          <w:rFonts w:ascii="Palatino Linotype" w:hAnsi="Palatino Linotype"/>
        </w:rPr>
        <w:t>, что на 25, 2% больше 2010 года.</w:t>
      </w:r>
    </w:p>
    <w:p w:rsidR="00FB5F40" w:rsidRPr="00026244" w:rsidRDefault="00FB5F40" w:rsidP="00B817D2">
      <w:pPr>
        <w:pStyle w:val="a3"/>
        <w:numPr>
          <w:ilvl w:val="0"/>
          <w:numId w:val="10"/>
        </w:numPr>
        <w:spacing w:after="0"/>
        <w:ind w:left="0" w:firstLine="0"/>
        <w:jc w:val="both"/>
        <w:rPr>
          <w:rFonts w:ascii="Palatino Linotype" w:hAnsi="Palatino Linotype"/>
          <w:color w:val="FF0000"/>
        </w:rPr>
      </w:pPr>
      <w:r w:rsidRPr="00026244">
        <w:rPr>
          <w:rFonts w:ascii="Palatino Linotype" w:hAnsi="Palatino Linotype"/>
        </w:rPr>
        <w:t>выдача государственных льготных кредитов хозяйствам, подлежащим переселению из опасных зон Республики Таджикистан, подверженных воздействию экзогенных процессов, для развития малого и среднего бизнеса в горных районах, поддержания организаций и работников бюджетной сферы. За 2011 год общая сумма выданных льготных кредитов  составила  около 32млн.сомони</w:t>
      </w:r>
      <w:r w:rsidRPr="00026244">
        <w:rPr>
          <w:rFonts w:ascii="Palatino Linotype" w:hAnsi="Palatino Linotype"/>
          <w:color w:val="FF0000"/>
        </w:rPr>
        <w:t>.</w:t>
      </w:r>
    </w:p>
    <w:p w:rsidR="00FB5F40" w:rsidRPr="00026244" w:rsidRDefault="00FB5F40" w:rsidP="00B817D2">
      <w:pPr>
        <w:pStyle w:val="af"/>
        <w:numPr>
          <w:ilvl w:val="0"/>
          <w:numId w:val="10"/>
        </w:numPr>
        <w:ind w:left="0" w:firstLine="0"/>
        <w:rPr>
          <w:rFonts w:ascii="Palatino Linotype" w:hAnsi="Palatino Linotype"/>
          <w:sz w:val="22"/>
          <w:szCs w:val="22"/>
          <w:lang w:eastAsia="en-US"/>
        </w:rPr>
      </w:pPr>
      <w:r w:rsidRPr="00026244">
        <w:rPr>
          <w:rFonts w:ascii="Palatino Linotype" w:hAnsi="Palatino Linotype"/>
          <w:sz w:val="22"/>
          <w:szCs w:val="22"/>
          <w:lang w:eastAsia="en-US"/>
        </w:rPr>
        <w:t xml:space="preserve">общий объем приёма коммунальных платежей за 2011 год составил     261,2 млн. </w:t>
      </w:r>
      <w:proofErr w:type="spellStart"/>
      <w:r w:rsidRPr="00026244">
        <w:rPr>
          <w:rFonts w:ascii="Palatino Linotype" w:hAnsi="Palatino Linotype"/>
          <w:sz w:val="22"/>
          <w:szCs w:val="22"/>
          <w:lang w:eastAsia="en-US"/>
        </w:rPr>
        <w:t>сомони</w:t>
      </w:r>
      <w:proofErr w:type="spellEnd"/>
      <w:r w:rsidRPr="00026244">
        <w:rPr>
          <w:rFonts w:ascii="Palatino Linotype" w:hAnsi="Palatino Linotype"/>
          <w:sz w:val="22"/>
          <w:szCs w:val="22"/>
          <w:lang w:eastAsia="en-US"/>
        </w:rPr>
        <w:t xml:space="preserve">, что по сравнению с 2010 годом абсолютный прирост  составил 17,6 млн. </w:t>
      </w:r>
      <w:proofErr w:type="spellStart"/>
      <w:r w:rsidRPr="00026244">
        <w:rPr>
          <w:rFonts w:ascii="Palatino Linotype" w:hAnsi="Palatino Linotype"/>
          <w:sz w:val="22"/>
          <w:szCs w:val="22"/>
          <w:lang w:eastAsia="en-US"/>
        </w:rPr>
        <w:t>сомони</w:t>
      </w:r>
      <w:proofErr w:type="spellEnd"/>
      <w:r w:rsidRPr="00026244">
        <w:rPr>
          <w:rFonts w:ascii="Palatino Linotype" w:hAnsi="Palatino Linotype"/>
          <w:sz w:val="22"/>
          <w:szCs w:val="22"/>
          <w:lang w:eastAsia="en-US"/>
        </w:rPr>
        <w:t xml:space="preserve"> или  7,2 %.  </w:t>
      </w: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545D59">
      <w:pPr>
        <w:spacing w:after="0"/>
        <w:ind w:firstLine="284"/>
        <w:jc w:val="both"/>
        <w:rPr>
          <w:rFonts w:ascii="Palatino Linotype" w:hAnsi="Palatino Linotype"/>
        </w:rPr>
      </w:pPr>
    </w:p>
    <w:p w:rsidR="00FB5F40" w:rsidRPr="00026244" w:rsidRDefault="00FB5F40" w:rsidP="008F2C6B">
      <w:pPr>
        <w:pStyle w:val="a3"/>
        <w:numPr>
          <w:ilvl w:val="0"/>
          <w:numId w:val="9"/>
        </w:numPr>
        <w:spacing w:after="0" w:line="324" w:lineRule="auto"/>
        <w:ind w:left="0" w:firstLine="0"/>
        <w:jc w:val="both"/>
        <w:rPr>
          <w:rFonts w:ascii="Palatino Linotype" w:hAnsi="Palatino Linotype"/>
          <w:lang w:val="en-US"/>
        </w:rPr>
      </w:pPr>
      <w:r w:rsidRPr="00026244">
        <w:rPr>
          <w:rFonts w:ascii="Palatino Linotype" w:hAnsi="Palatino Linotype"/>
          <w:lang w:val="en-US"/>
        </w:rPr>
        <w:lastRenderedPageBreak/>
        <w:t xml:space="preserve">Collection of payments for issuing national and foreign passports which are consequently transferred to republican budget. </w:t>
      </w:r>
    </w:p>
    <w:p w:rsidR="00FB5F40" w:rsidRPr="00026244" w:rsidRDefault="00FB5F40" w:rsidP="008F2C6B">
      <w:pPr>
        <w:spacing w:after="0" w:line="324" w:lineRule="auto"/>
        <w:jc w:val="both"/>
        <w:rPr>
          <w:rFonts w:ascii="Palatino Linotype" w:hAnsi="Palatino Linotype"/>
          <w:lang w:val="en-US"/>
        </w:rPr>
      </w:pPr>
      <w:r w:rsidRPr="00026244">
        <w:rPr>
          <w:rFonts w:ascii="Palatino Linotype" w:hAnsi="Palatino Linotype"/>
          <w:lang w:val="en-US"/>
        </w:rPr>
        <w:t>Only in 2011 the total sum of collected funds from population amounted to 49 million TJS and this indication is 25,2% more than in 2010.</w:t>
      </w:r>
    </w:p>
    <w:p w:rsidR="00FB5F40" w:rsidRPr="00026244" w:rsidRDefault="00FB5F40" w:rsidP="008F2C6B">
      <w:pPr>
        <w:pStyle w:val="a3"/>
        <w:numPr>
          <w:ilvl w:val="0"/>
          <w:numId w:val="9"/>
        </w:numPr>
        <w:spacing w:after="0" w:line="324" w:lineRule="auto"/>
        <w:ind w:left="0" w:firstLine="0"/>
        <w:jc w:val="both"/>
        <w:rPr>
          <w:rFonts w:ascii="Palatino Linotype" w:hAnsi="Palatino Linotype"/>
          <w:lang w:val="en-US"/>
        </w:rPr>
      </w:pPr>
      <w:r w:rsidRPr="00026244">
        <w:rPr>
          <w:rFonts w:ascii="Palatino Linotype" w:hAnsi="Palatino Linotype"/>
          <w:lang w:val="en-US"/>
        </w:rPr>
        <w:t xml:space="preserve">Giving state </w:t>
      </w:r>
      <w:proofErr w:type="spellStart"/>
      <w:r w:rsidRPr="00026244">
        <w:rPr>
          <w:rFonts w:ascii="Palatino Linotype" w:hAnsi="Palatino Linotype"/>
          <w:lang w:val="en-US"/>
        </w:rPr>
        <w:t>lax</w:t>
      </w:r>
      <w:proofErr w:type="spellEnd"/>
      <w:r w:rsidRPr="00026244">
        <w:rPr>
          <w:rFonts w:ascii="Palatino Linotype" w:hAnsi="Palatino Linotype"/>
          <w:lang w:val="en-US"/>
        </w:rPr>
        <w:t xml:space="preserve"> credits to households which are subject to resettlement from the exogenously dangerous areas, for advancement of SME in the mountainous regions and for supporting budget organizations and those who work for budget organizations. During 2011 the total sum of given credits amounted to 32 million TJS.</w:t>
      </w:r>
    </w:p>
    <w:p w:rsidR="00FB5F40" w:rsidRPr="00026244" w:rsidRDefault="00FB5F40" w:rsidP="008F2C6B">
      <w:pPr>
        <w:pStyle w:val="a3"/>
        <w:numPr>
          <w:ilvl w:val="0"/>
          <w:numId w:val="9"/>
        </w:numPr>
        <w:spacing w:after="0" w:line="324" w:lineRule="auto"/>
        <w:ind w:left="0" w:firstLine="0"/>
        <w:jc w:val="both"/>
        <w:rPr>
          <w:rFonts w:ascii="Palatino Linotype" w:hAnsi="Palatino Linotype"/>
          <w:lang w:val="en-US"/>
        </w:rPr>
      </w:pPr>
      <w:r w:rsidRPr="00026244">
        <w:rPr>
          <w:rFonts w:ascii="Palatino Linotype" w:hAnsi="Palatino Linotype"/>
          <w:lang w:val="en-US"/>
        </w:rPr>
        <w:t>The total volume of collected utility payments in 2011 amounted to 261,2 million TJS and this indicator in comparison with 2010 grew by 7,2% or the absolute growth is 17,6 million TJS</w:t>
      </w:r>
      <w:r w:rsidR="006C253A" w:rsidRPr="00026244">
        <w:rPr>
          <w:rFonts w:ascii="Palatino Linotype" w:hAnsi="Palatino Linotype"/>
          <w:lang w:val="en-US"/>
        </w:rPr>
        <w:t>.</w:t>
      </w:r>
      <w:r w:rsidRPr="00026244">
        <w:rPr>
          <w:rFonts w:ascii="Palatino Linotype" w:hAnsi="Palatino Linotype"/>
          <w:lang w:val="en-US"/>
        </w:rPr>
        <w:t xml:space="preserve">  </w:t>
      </w:r>
    </w:p>
    <w:p w:rsidR="00FB5F40" w:rsidRPr="00026244" w:rsidRDefault="00FB5F40" w:rsidP="00DA67ED">
      <w:pPr>
        <w:pStyle w:val="a3"/>
        <w:spacing w:after="0"/>
        <w:ind w:left="0"/>
        <w:jc w:val="both"/>
        <w:rPr>
          <w:rFonts w:ascii="Palatino Linotype" w:hAnsi="Palatino Linotype"/>
          <w:lang w:val="en-US"/>
        </w:rPr>
      </w:pPr>
    </w:p>
    <w:p w:rsidR="00FB5F40" w:rsidRPr="00026244" w:rsidRDefault="00FB5F40" w:rsidP="00DA67ED">
      <w:pPr>
        <w:spacing w:after="0"/>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545D59">
      <w:pPr>
        <w:spacing w:after="0"/>
        <w:ind w:firstLine="284"/>
        <w:jc w:val="both"/>
        <w:rPr>
          <w:rFonts w:ascii="Palatino Linotype" w:hAnsi="Palatino Linotype"/>
          <w:lang w:val="en-US"/>
        </w:rPr>
      </w:pPr>
    </w:p>
    <w:p w:rsidR="00FB5F40" w:rsidRPr="00026244" w:rsidRDefault="00FB5F40" w:rsidP="00DA67ED">
      <w:pPr>
        <w:pStyle w:val="a3"/>
        <w:spacing w:after="0"/>
        <w:ind w:left="0"/>
        <w:jc w:val="both"/>
        <w:rPr>
          <w:rFonts w:ascii="Palatino Linotype" w:hAnsi="Palatino Linotype"/>
          <w:b/>
          <w:color w:val="006600"/>
          <w:sz w:val="28"/>
          <w:szCs w:val="28"/>
        </w:rPr>
      </w:pPr>
      <w:r w:rsidRPr="00026244">
        <w:rPr>
          <w:rFonts w:ascii="Palatino Linotype" w:hAnsi="Palatino Linotype"/>
          <w:b/>
          <w:color w:val="006600"/>
          <w:sz w:val="28"/>
          <w:szCs w:val="28"/>
        </w:rPr>
        <w:lastRenderedPageBreak/>
        <w:t>КЛИЕНТСКАЯ ПОЛИТИКА БАНКА</w:t>
      </w:r>
    </w:p>
    <w:p w:rsidR="00FB5F40" w:rsidRPr="00026244" w:rsidRDefault="00FB5F40" w:rsidP="00DA67ED">
      <w:pPr>
        <w:spacing w:after="0"/>
        <w:jc w:val="both"/>
        <w:rPr>
          <w:rFonts w:ascii="Palatino Linotype" w:hAnsi="Palatino Linotype"/>
          <w:sz w:val="28"/>
          <w:szCs w:val="28"/>
        </w:rPr>
      </w:pPr>
    </w:p>
    <w:p w:rsidR="00FB5F40" w:rsidRPr="00026244" w:rsidRDefault="00FB5F40" w:rsidP="00DA67ED">
      <w:pPr>
        <w:pStyle w:val="a3"/>
        <w:spacing w:after="0"/>
        <w:ind w:left="0"/>
        <w:jc w:val="both"/>
        <w:rPr>
          <w:rFonts w:ascii="Palatino Linotype" w:hAnsi="Palatino Linotype"/>
        </w:rPr>
      </w:pPr>
      <w:r w:rsidRPr="00026244">
        <w:rPr>
          <w:rFonts w:ascii="Palatino Linotype" w:hAnsi="Palatino Linotype"/>
        </w:rPr>
        <w:t xml:space="preserve">    Совершенствование подхода и повышение культуры обслуживания лежат в основе клиентской политики банка. </w:t>
      </w:r>
    </w:p>
    <w:p w:rsidR="00FB5F40" w:rsidRPr="00026244" w:rsidRDefault="00FB5F40" w:rsidP="00DA67ED">
      <w:pPr>
        <w:pStyle w:val="a3"/>
        <w:spacing w:after="0"/>
        <w:ind w:left="0"/>
        <w:jc w:val="both"/>
        <w:rPr>
          <w:rFonts w:ascii="Palatino Linotype" w:hAnsi="Palatino Linotype"/>
        </w:rPr>
      </w:pPr>
    </w:p>
    <w:p w:rsidR="00FB5F40" w:rsidRPr="00026244" w:rsidRDefault="00FB5F40" w:rsidP="00DA67ED">
      <w:pPr>
        <w:spacing w:after="0"/>
        <w:jc w:val="both"/>
        <w:rPr>
          <w:rFonts w:ascii="Palatino Linotype" w:hAnsi="Palatino Linotype"/>
          <w:b/>
          <w:sz w:val="28"/>
          <w:szCs w:val="28"/>
        </w:rPr>
      </w:pPr>
      <w:r w:rsidRPr="00026244">
        <w:rPr>
          <w:rFonts w:ascii="Palatino Linotype" w:hAnsi="Palatino Linotype"/>
          <w:b/>
          <w:sz w:val="28"/>
          <w:szCs w:val="28"/>
        </w:rPr>
        <w:t>Депозиты.</w:t>
      </w:r>
    </w:p>
    <w:p w:rsidR="00FB5F40" w:rsidRPr="00026244" w:rsidRDefault="00FB5F40" w:rsidP="00DA67ED">
      <w:pPr>
        <w:spacing w:after="0"/>
        <w:jc w:val="both"/>
        <w:rPr>
          <w:rFonts w:ascii="Palatino Linotype" w:hAnsi="Palatino Linotype"/>
          <w:b/>
        </w:rPr>
      </w:pPr>
    </w:p>
    <w:p w:rsidR="00FB5F40" w:rsidRPr="00026244" w:rsidRDefault="00FB5F40" w:rsidP="00DA67ED">
      <w:pPr>
        <w:spacing w:after="0"/>
        <w:jc w:val="both"/>
        <w:rPr>
          <w:rFonts w:ascii="Palatino Linotype" w:hAnsi="Palatino Linotype"/>
          <w:sz w:val="28"/>
          <w:szCs w:val="28"/>
        </w:rPr>
      </w:pPr>
      <w:r w:rsidRPr="00026244">
        <w:rPr>
          <w:rFonts w:ascii="Palatino Linotype" w:hAnsi="Palatino Linotype"/>
        </w:rPr>
        <w:t xml:space="preserve">В 2011 году банк продолжил наращивать объемы привлеченных  денежных  средств  клиентов. За 2011 год  </w:t>
      </w:r>
      <w:proofErr w:type="spellStart"/>
      <w:r w:rsidRPr="00026244">
        <w:rPr>
          <w:rFonts w:ascii="Palatino Linotype" w:hAnsi="Palatino Linotype"/>
        </w:rPr>
        <w:t>Амонатбанком</w:t>
      </w:r>
      <w:proofErr w:type="spellEnd"/>
      <w:r w:rsidRPr="00026244">
        <w:rPr>
          <w:rFonts w:ascii="Palatino Linotype" w:hAnsi="Palatino Linotype"/>
        </w:rPr>
        <w:t xml:space="preserve"> по сравнению с 2010 годом  привлечено на 22,7% больше денежных средств и остаток  депозитов  по  состоянию на 31 декабря 2011 года составляет 767,9 млн. </w:t>
      </w:r>
      <w:proofErr w:type="spellStart"/>
      <w:r w:rsidRPr="00026244">
        <w:rPr>
          <w:rFonts w:ascii="Palatino Linotype" w:hAnsi="Palatino Linotype"/>
        </w:rPr>
        <w:t>сомони</w:t>
      </w:r>
      <w:proofErr w:type="gramStart"/>
      <w:r w:rsidRPr="00026244">
        <w:rPr>
          <w:rFonts w:ascii="Palatino Linotype" w:hAnsi="Palatino Linotype"/>
        </w:rPr>
        <w:t>.В</w:t>
      </w:r>
      <w:proofErr w:type="spellEnd"/>
      <w:proofErr w:type="gramEnd"/>
      <w:r w:rsidRPr="00026244">
        <w:rPr>
          <w:rFonts w:ascii="Palatino Linotype" w:hAnsi="Palatino Linotype"/>
        </w:rPr>
        <w:t xml:space="preserve"> составе депозитов Банка остаток депозитов  корпоративных клиентов составляет 420,8 млн. </w:t>
      </w:r>
      <w:proofErr w:type="spellStart"/>
      <w:r w:rsidRPr="00026244">
        <w:rPr>
          <w:rFonts w:ascii="Palatino Linotype" w:hAnsi="Palatino Linotype"/>
        </w:rPr>
        <w:t>сомони</w:t>
      </w:r>
      <w:proofErr w:type="spellEnd"/>
      <w:r w:rsidRPr="00026244">
        <w:rPr>
          <w:rFonts w:ascii="Palatino Linotype" w:hAnsi="Palatino Linotype"/>
        </w:rPr>
        <w:t xml:space="preserve">, а вклады населения 347,1 млн. </w:t>
      </w:r>
      <w:proofErr w:type="spellStart"/>
      <w:r w:rsidRPr="00026244">
        <w:rPr>
          <w:rFonts w:ascii="Palatino Linotype" w:hAnsi="Palatino Linotype"/>
        </w:rPr>
        <w:t>сомони</w:t>
      </w:r>
      <w:proofErr w:type="spellEnd"/>
      <w:r w:rsidRPr="00026244">
        <w:rPr>
          <w:rFonts w:ascii="Palatino Linotype" w:hAnsi="Palatino Linotype"/>
        </w:rPr>
        <w:t xml:space="preserve">, Соответственно, удельный вес депозитов корпоративных клиентов  составляет 54,8% и вкладов населения – 45,2%.  Линейка депозитов, </w:t>
      </w:r>
      <w:proofErr w:type="gramStart"/>
      <w:r w:rsidRPr="00026244">
        <w:rPr>
          <w:rFonts w:ascii="Palatino Linotype" w:hAnsi="Palatino Linotype"/>
        </w:rPr>
        <w:t>ориентированная</w:t>
      </w:r>
      <w:proofErr w:type="gramEnd"/>
      <w:r w:rsidRPr="00026244">
        <w:rPr>
          <w:rFonts w:ascii="Palatino Linotype" w:hAnsi="Palatino Linotype"/>
        </w:rPr>
        <w:t xml:space="preserve"> на разные категории вкладчиков, и выгодные процентные ставки позволяют поддерживать отношения с постоянными</w:t>
      </w:r>
      <w:r w:rsidR="005C660A" w:rsidRPr="00026244">
        <w:rPr>
          <w:rFonts w:ascii="Palatino Linotype" w:hAnsi="Palatino Linotype"/>
        </w:rPr>
        <w:t xml:space="preserve"> </w:t>
      </w:r>
      <w:r w:rsidRPr="00026244">
        <w:rPr>
          <w:rFonts w:ascii="Palatino Linotype" w:hAnsi="Palatino Linotype"/>
        </w:rPr>
        <w:t xml:space="preserve">вкладчиками и привлекать новых. За год банк продемонстрировал рекордный в своей истории рост привлеченных средств физических лиц, который составил 78,1%. В результате их объем по итогам 2011 года достиг 347,1 млн. </w:t>
      </w:r>
      <w:proofErr w:type="spellStart"/>
      <w:r w:rsidRPr="00026244">
        <w:rPr>
          <w:rFonts w:ascii="Palatino Linotype" w:hAnsi="Palatino Linotype"/>
        </w:rPr>
        <w:t>сомони</w:t>
      </w:r>
      <w:proofErr w:type="spellEnd"/>
      <w:r w:rsidRPr="00026244">
        <w:rPr>
          <w:rFonts w:ascii="Palatino Linotype" w:hAnsi="Palatino Linotype"/>
        </w:rPr>
        <w:t>. Рост средств был вызван также активными рекламными кампаниями, которые Банк проводил в течение года</w:t>
      </w:r>
      <w:r w:rsidRPr="00026244">
        <w:rPr>
          <w:rFonts w:ascii="Palatino Linotype" w:hAnsi="Palatino Linotype"/>
          <w:b/>
          <w:color w:val="FF0000"/>
        </w:rPr>
        <w:t>.</w:t>
      </w:r>
    </w:p>
    <w:p w:rsidR="00FB5F40" w:rsidRPr="00026244" w:rsidRDefault="00FB5F40" w:rsidP="00533655">
      <w:pPr>
        <w:pStyle w:val="a3"/>
        <w:spacing w:after="0"/>
        <w:ind w:left="1287"/>
        <w:jc w:val="both"/>
        <w:rPr>
          <w:rFonts w:ascii="Palatino Linotype" w:hAnsi="Palatino Linotype"/>
          <w:b/>
          <w:sz w:val="20"/>
          <w:szCs w:val="20"/>
        </w:rPr>
      </w:pPr>
    </w:p>
    <w:p w:rsidR="00FB5F40" w:rsidRPr="00026244" w:rsidRDefault="00FB5F40" w:rsidP="00533655">
      <w:pPr>
        <w:pStyle w:val="a3"/>
        <w:spacing w:after="0"/>
        <w:ind w:left="1287"/>
        <w:jc w:val="both"/>
        <w:rPr>
          <w:rFonts w:ascii="Palatino Linotype" w:hAnsi="Palatino Linotype"/>
          <w:b/>
          <w:sz w:val="20"/>
          <w:szCs w:val="20"/>
        </w:rPr>
      </w:pPr>
    </w:p>
    <w:p w:rsidR="00FB5F40" w:rsidRPr="00026244" w:rsidRDefault="00FB5F40" w:rsidP="00533655">
      <w:pPr>
        <w:pStyle w:val="a3"/>
        <w:spacing w:after="0"/>
        <w:ind w:left="1287"/>
        <w:jc w:val="both"/>
        <w:rPr>
          <w:rFonts w:ascii="Palatino Linotype" w:hAnsi="Palatino Linotype"/>
          <w:b/>
          <w:sz w:val="20"/>
          <w:szCs w:val="20"/>
        </w:rPr>
      </w:pPr>
    </w:p>
    <w:p w:rsidR="00FB5F40" w:rsidRPr="00026244" w:rsidRDefault="00FB5F40" w:rsidP="00533655">
      <w:pPr>
        <w:pStyle w:val="a3"/>
        <w:spacing w:after="0"/>
        <w:ind w:left="1287"/>
        <w:jc w:val="both"/>
        <w:rPr>
          <w:rFonts w:ascii="Palatino Linotype" w:hAnsi="Palatino Linotype"/>
          <w:b/>
          <w:sz w:val="20"/>
          <w:szCs w:val="20"/>
        </w:rPr>
      </w:pPr>
    </w:p>
    <w:p w:rsidR="00FB5F40" w:rsidRPr="00026244" w:rsidRDefault="00FB5F40" w:rsidP="00533655">
      <w:pPr>
        <w:pStyle w:val="a3"/>
        <w:spacing w:after="0"/>
        <w:ind w:left="1287"/>
        <w:jc w:val="both"/>
        <w:rPr>
          <w:rFonts w:ascii="Palatino Linotype" w:hAnsi="Palatino Linotype"/>
          <w:b/>
          <w:sz w:val="20"/>
          <w:szCs w:val="20"/>
        </w:rPr>
      </w:pPr>
    </w:p>
    <w:p w:rsidR="00FB5F40" w:rsidRPr="00026244" w:rsidRDefault="00FB5F40" w:rsidP="00533655">
      <w:pPr>
        <w:pStyle w:val="a3"/>
        <w:spacing w:after="0"/>
        <w:ind w:left="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lastRenderedPageBreak/>
        <w:t>CLIENT ORIENTED POLICY OF THE BANK</w:t>
      </w:r>
    </w:p>
    <w:p w:rsidR="00FB5F40" w:rsidRPr="00026244" w:rsidRDefault="00FB5F40" w:rsidP="00533655">
      <w:pPr>
        <w:spacing w:after="0"/>
        <w:jc w:val="both"/>
        <w:rPr>
          <w:rFonts w:ascii="Palatino Linotype" w:hAnsi="Palatino Linotype"/>
          <w:b/>
          <w:sz w:val="20"/>
          <w:szCs w:val="20"/>
          <w:lang w:val="en-US"/>
        </w:rPr>
      </w:pPr>
    </w:p>
    <w:p w:rsidR="00FB5F40" w:rsidRPr="00026244" w:rsidRDefault="00FB5F40" w:rsidP="00CF1EDA">
      <w:pPr>
        <w:spacing w:after="0"/>
        <w:jc w:val="both"/>
        <w:rPr>
          <w:rFonts w:ascii="Palatino Linotype" w:hAnsi="Palatino Linotype"/>
          <w:lang w:val="en-US"/>
        </w:rPr>
      </w:pPr>
      <w:r w:rsidRPr="00026244">
        <w:rPr>
          <w:rFonts w:ascii="Palatino Linotype" w:hAnsi="Palatino Linotype"/>
          <w:lang w:val="en-US"/>
        </w:rPr>
        <w:t xml:space="preserve">Improving the approach and culture of servicing the clients is the basis of the client-oriented policy of the Bank. </w:t>
      </w:r>
    </w:p>
    <w:p w:rsidR="00FB5F40" w:rsidRPr="00026244" w:rsidRDefault="00FB5F40" w:rsidP="00533655">
      <w:pPr>
        <w:spacing w:after="0"/>
        <w:ind w:firstLine="284"/>
        <w:jc w:val="both"/>
        <w:rPr>
          <w:rFonts w:ascii="Palatino Linotype" w:hAnsi="Palatino Linotype"/>
          <w:sz w:val="28"/>
          <w:szCs w:val="28"/>
          <w:lang w:val="en-US"/>
        </w:rPr>
      </w:pPr>
    </w:p>
    <w:p w:rsidR="00FB5F40" w:rsidRPr="00026244" w:rsidRDefault="00FB5F40" w:rsidP="00533655">
      <w:pPr>
        <w:spacing w:after="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t>Deposits.</w:t>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r w:rsidRPr="00026244">
        <w:rPr>
          <w:rFonts w:ascii="Palatino Linotype" w:hAnsi="Palatino Linotype"/>
          <w:lang w:val="en-US"/>
        </w:rPr>
        <w:t xml:space="preserve">In 2011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continued to increase the volume of attracted funds of the clients. During 2011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attracted </w:t>
      </w:r>
      <w:r w:rsidR="006440C8" w:rsidRPr="00026244">
        <w:rPr>
          <w:rFonts w:ascii="Palatino Linotype" w:hAnsi="Palatino Linotype"/>
          <w:lang w:val="en-US"/>
        </w:rPr>
        <w:t>22</w:t>
      </w:r>
      <w:proofErr w:type="gramStart"/>
      <w:r w:rsidR="006440C8" w:rsidRPr="00026244">
        <w:rPr>
          <w:rFonts w:ascii="Palatino Linotype" w:hAnsi="Palatino Linotype"/>
          <w:lang w:val="en-US"/>
        </w:rPr>
        <w:t>,7</w:t>
      </w:r>
      <w:proofErr w:type="gramEnd"/>
      <w:r w:rsidR="006440C8" w:rsidRPr="00026244">
        <w:rPr>
          <w:rFonts w:ascii="Palatino Linotype" w:hAnsi="Palatino Linotype"/>
          <w:lang w:val="en-US"/>
        </w:rPr>
        <w:t>%</w:t>
      </w:r>
      <w:r w:rsidRPr="00026244">
        <w:rPr>
          <w:rFonts w:ascii="Palatino Linotype" w:hAnsi="Palatino Linotype"/>
          <w:lang w:val="en-US"/>
        </w:rPr>
        <w:t xml:space="preserve"> more funds than in 2010 and the remainder of the deposits as of December 31, 2011 amounted to 76</w:t>
      </w:r>
      <w:r w:rsidR="006440C8" w:rsidRPr="00026244">
        <w:rPr>
          <w:rFonts w:ascii="Palatino Linotype" w:hAnsi="Palatino Linotype"/>
          <w:lang w:val="en-US"/>
        </w:rPr>
        <w:t>7,9</w:t>
      </w:r>
      <w:r w:rsidRPr="00026244">
        <w:rPr>
          <w:rFonts w:ascii="Palatino Linotype" w:hAnsi="Palatino Linotype"/>
          <w:lang w:val="en-US"/>
        </w:rPr>
        <w:t xml:space="preserve"> million TJS.  As part of the Bank’s deposits the remainder of corporative deposit accounts makes up 42</w:t>
      </w:r>
      <w:r w:rsidR="006440C8" w:rsidRPr="00026244">
        <w:rPr>
          <w:rFonts w:ascii="Palatino Linotype" w:hAnsi="Palatino Linotype"/>
          <w:lang w:val="en-US"/>
        </w:rPr>
        <w:t>0,8</w:t>
      </w:r>
      <w:r w:rsidRPr="00026244">
        <w:rPr>
          <w:rFonts w:ascii="Palatino Linotype" w:hAnsi="Palatino Linotype"/>
          <w:lang w:val="en-US"/>
        </w:rPr>
        <w:t xml:space="preserve"> million TJS and the savings of population 347</w:t>
      </w:r>
      <w:r w:rsidR="006440C8" w:rsidRPr="00026244">
        <w:rPr>
          <w:rFonts w:ascii="Palatino Linotype" w:hAnsi="Palatino Linotype"/>
          <w:lang w:val="en-US"/>
        </w:rPr>
        <w:t>,1</w:t>
      </w:r>
      <w:r w:rsidRPr="00026244">
        <w:rPr>
          <w:rFonts w:ascii="Palatino Linotype" w:hAnsi="Palatino Linotype"/>
          <w:lang w:val="en-US"/>
        </w:rPr>
        <w:t xml:space="preserve"> million TJS.  Accordingly the unit weight of corporativ</w:t>
      </w:r>
      <w:r w:rsidR="006440C8" w:rsidRPr="00026244">
        <w:rPr>
          <w:rFonts w:ascii="Palatino Linotype" w:hAnsi="Palatino Linotype"/>
          <w:lang w:val="en-US"/>
        </w:rPr>
        <w:t>e clients’ deposits makes up 54,</w:t>
      </w:r>
      <w:r w:rsidRPr="00026244">
        <w:rPr>
          <w:rFonts w:ascii="Palatino Linotype" w:hAnsi="Palatino Linotype"/>
          <w:lang w:val="en-US"/>
        </w:rPr>
        <w:t xml:space="preserve">8% and population savings -  45,2%.  Our deposit scale oriented on different categories of depositors and advantageous interest rate allow us maintain our relationships with existing clients and attract new ones. During the reporting year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demonstrated all-time high increase in attracting funds of individuals which was </w:t>
      </w:r>
      <w:r w:rsidR="000A6411" w:rsidRPr="00026244">
        <w:rPr>
          <w:rFonts w:ascii="Palatino Linotype" w:hAnsi="Palatino Linotype"/>
          <w:lang w:val="en-US"/>
        </w:rPr>
        <w:t>78</w:t>
      </w:r>
      <w:proofErr w:type="gramStart"/>
      <w:r w:rsidR="000A6411" w:rsidRPr="00026244">
        <w:rPr>
          <w:rFonts w:ascii="Palatino Linotype" w:hAnsi="Palatino Linotype"/>
          <w:lang w:val="en-US"/>
        </w:rPr>
        <w:t>,1</w:t>
      </w:r>
      <w:proofErr w:type="gramEnd"/>
      <w:r w:rsidRPr="00026244">
        <w:rPr>
          <w:rFonts w:ascii="Palatino Linotype" w:hAnsi="Palatino Linotype"/>
          <w:lang w:val="en-US"/>
        </w:rPr>
        <w:t>%.  As a consequence of it their volume by the end of 2011 amounted to 347</w:t>
      </w:r>
      <w:r w:rsidR="000A6411" w:rsidRPr="00026244">
        <w:rPr>
          <w:rFonts w:ascii="Palatino Linotype" w:hAnsi="Palatino Linotype"/>
          <w:lang w:val="en-US"/>
        </w:rPr>
        <w:t>,1</w:t>
      </w:r>
      <w:r w:rsidRPr="00026244">
        <w:rPr>
          <w:rFonts w:ascii="Palatino Linotype" w:hAnsi="Palatino Linotype"/>
          <w:lang w:val="en-US"/>
        </w:rPr>
        <w:t xml:space="preserve"> million TJS. The growth in deposit attraction was also resulted in by advertising campaign lead by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throughout the year.</w:t>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pStyle w:val="a3"/>
        <w:spacing w:after="0"/>
        <w:ind w:left="0"/>
        <w:rPr>
          <w:rFonts w:ascii="Palatino Linotype" w:hAnsi="Palatino Linotype"/>
          <w:sz w:val="24"/>
          <w:szCs w:val="24"/>
        </w:rPr>
      </w:pPr>
      <w:r w:rsidRPr="00026244">
        <w:rPr>
          <w:rFonts w:ascii="Palatino Linotype" w:hAnsi="Palatino Linotype"/>
          <w:b/>
          <w:sz w:val="28"/>
          <w:szCs w:val="28"/>
        </w:rPr>
        <w:lastRenderedPageBreak/>
        <w:t>Услуги  пластиковыми картами.</w:t>
      </w:r>
    </w:p>
    <w:p w:rsidR="00FB5F40" w:rsidRPr="00026244" w:rsidRDefault="00FB5F40" w:rsidP="00533655">
      <w:pPr>
        <w:pStyle w:val="a3"/>
        <w:spacing w:after="0"/>
        <w:ind w:left="0"/>
        <w:jc w:val="both"/>
        <w:rPr>
          <w:rFonts w:ascii="Palatino Linotype" w:hAnsi="Palatino Linotype"/>
          <w:sz w:val="24"/>
          <w:szCs w:val="24"/>
        </w:rPr>
      </w:pPr>
    </w:p>
    <w:p w:rsidR="00FB5F40" w:rsidRPr="00026244" w:rsidRDefault="00FB5F40" w:rsidP="00533655">
      <w:pPr>
        <w:pStyle w:val="a3"/>
        <w:spacing w:after="0"/>
        <w:ind w:left="0"/>
        <w:jc w:val="both"/>
        <w:rPr>
          <w:rFonts w:ascii="Palatino Linotype" w:hAnsi="Palatino Linotype"/>
        </w:rPr>
      </w:pPr>
      <w:r w:rsidRPr="00026244">
        <w:rPr>
          <w:rFonts w:ascii="Palatino Linotype" w:hAnsi="Palatino Linotype"/>
        </w:rPr>
        <w:t xml:space="preserve">    </w:t>
      </w:r>
      <w:proofErr w:type="spellStart"/>
      <w:r w:rsidR="00766A11" w:rsidRPr="00026244">
        <w:rPr>
          <w:rFonts w:ascii="Palatino Linotype" w:hAnsi="Palatino Linotype"/>
        </w:rPr>
        <w:t>Амонатб</w:t>
      </w:r>
      <w:proofErr w:type="spellEnd"/>
      <w:proofErr w:type="gramStart"/>
      <w:r w:rsidR="005C660A" w:rsidRPr="00026244">
        <w:rPr>
          <w:rFonts w:ascii="Palatino Linotype" w:hAnsi="Palatino Linotype"/>
          <w:lang w:val="en-US"/>
        </w:rPr>
        <w:t>a</w:t>
      </w:r>
      <w:proofErr w:type="spellStart"/>
      <w:proofErr w:type="gramEnd"/>
      <w:r w:rsidR="00766A11" w:rsidRPr="00026244">
        <w:rPr>
          <w:rFonts w:ascii="Palatino Linotype" w:hAnsi="Palatino Linotype"/>
        </w:rPr>
        <w:t>нк</w:t>
      </w:r>
      <w:proofErr w:type="spellEnd"/>
      <w:r w:rsidRPr="00026244">
        <w:rPr>
          <w:rFonts w:ascii="Palatino Linotype" w:hAnsi="Palatino Linotype"/>
        </w:rPr>
        <w:t xml:space="preserve"> является ассоциированным членом международной  платежной системы VISA. Эмиссия  пластиковых  карт  –  перспективное  и  стратегическое направление деятельности для Банка. В 2011 году Банк продолжил эмиссию банковских пластиковых карт,  которая  осуществлялась,  в  основном,  в  рамках внедрения пластиковых карт в пенсионном обслуживании и «зарплатных» проектов. Внедрение в отчетном году пластиковых карт в пенсионное обслуживание еще в 9 регионах республики, заключение договоров с 83 организациями по зарплатному проекту и перевод сотрудников 22 филиалов самого Банка на обслуживание пластиковыми картами позволило Банку существенно  увеличить  количество  эмитированных пластиковых карт и укреплению клиентской базы.</w:t>
      </w:r>
    </w:p>
    <w:p w:rsidR="00FB5F40" w:rsidRPr="00026244" w:rsidRDefault="00FB5F40" w:rsidP="00533655">
      <w:pPr>
        <w:ind w:firstLine="284"/>
        <w:jc w:val="both"/>
        <w:rPr>
          <w:rFonts w:ascii="Palatino Linotype" w:hAnsi="Palatino Linotype"/>
        </w:rPr>
      </w:pPr>
      <w:r w:rsidRPr="00026244">
        <w:rPr>
          <w:rFonts w:ascii="Palatino Linotype" w:hAnsi="Palatino Linotype"/>
        </w:rPr>
        <w:t xml:space="preserve">В отчетном году безналичные обороты через банковские карты составили 153,9 </w:t>
      </w:r>
      <w:proofErr w:type="spellStart"/>
      <w:r w:rsidRPr="00026244">
        <w:rPr>
          <w:rFonts w:ascii="Palatino Linotype" w:hAnsi="Palatino Linotype"/>
        </w:rPr>
        <w:t>млн.сомони</w:t>
      </w:r>
      <w:proofErr w:type="spellEnd"/>
      <w:r w:rsidRPr="00026244">
        <w:rPr>
          <w:rFonts w:ascii="Palatino Linotype" w:hAnsi="Palatino Linotype"/>
        </w:rPr>
        <w:t>, что по сравнению   с 2010 годом возросли в 6,1 раза, а их количество в 7,5 раза.</w:t>
      </w:r>
    </w:p>
    <w:p w:rsidR="00FB5F40" w:rsidRPr="00026244" w:rsidRDefault="00FB5F40" w:rsidP="00533655">
      <w:pPr>
        <w:spacing w:after="0"/>
        <w:ind w:firstLine="284"/>
        <w:jc w:val="both"/>
        <w:rPr>
          <w:rFonts w:ascii="Palatino Linotype" w:hAnsi="Palatino Linotype"/>
        </w:rPr>
      </w:pPr>
      <w:r w:rsidRPr="00026244">
        <w:rPr>
          <w:rFonts w:ascii="Palatino Linotype" w:hAnsi="Palatino Linotype"/>
        </w:rPr>
        <w:t>Проведенная работа  в развитии услуг на базе платежных карт привело к лидирующей доле Амонатбанка в общем объеме выпущенных в обращение платежных карт в республике, которая составляет на конец отчетного года 43,6%.</w:t>
      </w: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pStyle w:val="a3"/>
        <w:spacing w:after="0"/>
        <w:ind w:left="0"/>
        <w:jc w:val="both"/>
        <w:rPr>
          <w:rFonts w:ascii="Palatino Linotype" w:hAnsi="Palatino Linotype"/>
          <w:color w:val="8064A2"/>
          <w:sz w:val="28"/>
          <w:szCs w:val="28"/>
          <w:lang w:val="en-US"/>
        </w:rPr>
      </w:pPr>
      <w:r w:rsidRPr="00026244">
        <w:rPr>
          <w:rFonts w:ascii="Palatino Linotype" w:hAnsi="Palatino Linotype"/>
          <w:b/>
          <w:color w:val="8064A2"/>
          <w:sz w:val="28"/>
          <w:szCs w:val="28"/>
          <w:lang w:val="en-US"/>
        </w:rPr>
        <w:lastRenderedPageBreak/>
        <w:t>Services through plastic cards.</w:t>
      </w:r>
    </w:p>
    <w:p w:rsidR="00FB5F40" w:rsidRPr="00026244" w:rsidRDefault="00FB5F40" w:rsidP="00533655">
      <w:pPr>
        <w:pStyle w:val="a3"/>
        <w:spacing w:after="0"/>
        <w:ind w:left="0"/>
        <w:jc w:val="both"/>
        <w:rPr>
          <w:rFonts w:ascii="Palatino Linotype" w:hAnsi="Palatino Linotype"/>
          <w:sz w:val="28"/>
          <w:szCs w:val="28"/>
          <w:lang w:val="en-US"/>
        </w:rPr>
      </w:pPr>
    </w:p>
    <w:p w:rsidR="00FB5F40" w:rsidRPr="00026244" w:rsidRDefault="00FB5F40" w:rsidP="00766A11">
      <w:pPr>
        <w:pStyle w:val="a3"/>
        <w:spacing w:after="0" w:line="336" w:lineRule="auto"/>
        <w:ind w:left="0"/>
        <w:jc w:val="both"/>
        <w:rPr>
          <w:rFonts w:ascii="Palatino Linotype" w:hAnsi="Palatino Linotype"/>
          <w:lang w:val="en-US"/>
        </w:rPr>
      </w:pP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is an associated member of VISA payment system. Emission of plastic cards is long-term and strategic aim of </w:t>
      </w:r>
      <w:proofErr w:type="spellStart"/>
      <w:r w:rsidRPr="00026244">
        <w:rPr>
          <w:rFonts w:ascii="Palatino Linotype" w:hAnsi="Palatino Linotype"/>
          <w:lang w:val="en-US"/>
        </w:rPr>
        <w:t>Am</w:t>
      </w:r>
      <w:r w:rsidR="00647A71" w:rsidRPr="00026244">
        <w:rPr>
          <w:rFonts w:ascii="Palatino Linotype" w:hAnsi="Palatino Linotype"/>
          <w:lang w:val="en-US"/>
        </w:rPr>
        <w:t>o</w:t>
      </w:r>
      <w:r w:rsidRPr="00026244">
        <w:rPr>
          <w:rFonts w:ascii="Palatino Linotype" w:hAnsi="Palatino Linotype"/>
          <w:lang w:val="en-US"/>
        </w:rPr>
        <w:t>natb</w:t>
      </w:r>
      <w:r w:rsidR="005C660A" w:rsidRPr="00026244">
        <w:rPr>
          <w:rFonts w:ascii="Palatino Linotype" w:hAnsi="Palatino Linotype"/>
          <w:lang w:val="en-US"/>
        </w:rPr>
        <w:t>a</w:t>
      </w:r>
      <w:r w:rsidRPr="00026244">
        <w:rPr>
          <w:rFonts w:ascii="Palatino Linotype" w:hAnsi="Palatino Linotype"/>
          <w:lang w:val="en-US"/>
        </w:rPr>
        <w:t>nk’s</w:t>
      </w:r>
      <w:proofErr w:type="spellEnd"/>
      <w:r w:rsidRPr="00026244">
        <w:rPr>
          <w:rFonts w:ascii="Palatino Linotype" w:hAnsi="Palatino Linotype"/>
          <w:lang w:val="en-US"/>
        </w:rPr>
        <w:t xml:space="preserve"> activities. In 2011 emission of plastic cards by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was an ongoing process which was mainly aimed at providing pensioners with services through plastic cards and for salary projects. In reporting year applying plastic cards in pension service in 9 more regions of the country, concluding agreements with 83 organizations on salary project and transferring staff of 22 branches of </w:t>
      </w:r>
      <w:r w:rsidR="0034250E" w:rsidRPr="00026244">
        <w:rPr>
          <w:rFonts w:ascii="Palatino Linotype" w:hAnsi="Palatino Linotype"/>
        </w:rPr>
        <w:t>А</w:t>
      </w:r>
      <w:proofErr w:type="spellStart"/>
      <w:r w:rsidRPr="00026244">
        <w:rPr>
          <w:rFonts w:ascii="Palatino Linotype" w:hAnsi="Palatino Linotype"/>
          <w:lang w:val="en-US"/>
        </w:rPr>
        <w:t>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to service through plastic cards significantly contributed to increase in the number of emitted cards and in strengthening the client base of the Bank. </w:t>
      </w:r>
    </w:p>
    <w:p w:rsidR="00FB5F40" w:rsidRPr="00026244" w:rsidRDefault="00FB5F40" w:rsidP="00766A11">
      <w:pPr>
        <w:spacing w:line="336" w:lineRule="auto"/>
        <w:ind w:firstLine="284"/>
        <w:jc w:val="both"/>
        <w:rPr>
          <w:rFonts w:ascii="Palatino Linotype" w:hAnsi="Palatino Linotype"/>
          <w:lang w:val="en-US"/>
        </w:rPr>
      </w:pPr>
      <w:r w:rsidRPr="00026244">
        <w:rPr>
          <w:rFonts w:ascii="Palatino Linotype" w:hAnsi="Palatino Linotype"/>
          <w:lang w:val="en-US"/>
        </w:rPr>
        <w:t xml:space="preserve">In the reporting year the cashless turnover through plastic cards amounted to 153,9 million TJS and in comparison with 2010 it grew 6.1 times and their number in 7,5 times. </w:t>
      </w:r>
    </w:p>
    <w:p w:rsidR="00FB5F40" w:rsidRPr="00026244" w:rsidRDefault="00FB5F40" w:rsidP="00766A11">
      <w:pPr>
        <w:spacing w:after="0" w:line="336" w:lineRule="auto"/>
        <w:ind w:firstLine="284"/>
        <w:jc w:val="both"/>
        <w:rPr>
          <w:rFonts w:ascii="Palatino Linotype" w:hAnsi="Palatino Linotype"/>
          <w:lang w:val="en-US"/>
        </w:rPr>
      </w:pPr>
      <w:r w:rsidRPr="00026244">
        <w:rPr>
          <w:rFonts w:ascii="Palatino Linotype" w:hAnsi="Palatino Linotype"/>
          <w:lang w:val="en-US"/>
        </w:rPr>
        <w:t xml:space="preserve">The work done by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on the basis of advancement of services through plastic cards resulted in a leading share of the Bank in total volume of issued payment cards in the country which at the end of  2011 made up  43,6%.</w:t>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766A11" w:rsidP="00533655">
      <w:pPr>
        <w:spacing w:after="0"/>
        <w:ind w:firstLine="284"/>
        <w:jc w:val="both"/>
        <w:rPr>
          <w:rFonts w:ascii="Palatino Linotype" w:hAnsi="Palatino Linotype"/>
          <w:lang w:val="en-US"/>
        </w:rPr>
      </w:pPr>
      <w:r w:rsidRPr="00026244">
        <w:rPr>
          <w:noProof/>
          <w:lang w:eastAsia="ru-RU"/>
        </w:rPr>
        <w:lastRenderedPageBreak/>
        <w:drawing>
          <wp:anchor distT="0" distB="4953" distL="114300" distR="114300" simplePos="0" relativeHeight="251655680" behindDoc="0" locked="0" layoutInCell="1" allowOverlap="1" wp14:anchorId="10422C52" wp14:editId="55AB00D5">
            <wp:simplePos x="0" y="0"/>
            <wp:positionH relativeFrom="column">
              <wp:posOffset>291025</wp:posOffset>
            </wp:positionH>
            <wp:positionV relativeFrom="paragraph">
              <wp:posOffset>-43082</wp:posOffset>
            </wp:positionV>
            <wp:extent cx="5433647" cy="2664069"/>
            <wp:effectExtent l="0" t="0" r="0" b="3175"/>
            <wp:wrapNone/>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cs="Arial CYR"/>
          <w:b/>
          <w:sz w:val="28"/>
          <w:szCs w:val="28"/>
        </w:rPr>
      </w:pPr>
      <w:r w:rsidRPr="00026244">
        <w:rPr>
          <w:rFonts w:ascii="Palatino Linotype" w:hAnsi="Palatino Linotype" w:cs="Arial CYR"/>
          <w:b/>
          <w:sz w:val="28"/>
          <w:szCs w:val="28"/>
        </w:rPr>
        <w:t xml:space="preserve">Денежные переводы. </w:t>
      </w:r>
    </w:p>
    <w:p w:rsidR="00905F9B" w:rsidRPr="00026244" w:rsidRDefault="00905F9B"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r w:rsidRPr="00026244">
        <w:rPr>
          <w:rFonts w:ascii="Palatino Linotype" w:hAnsi="Palatino Linotype"/>
        </w:rPr>
        <w:t xml:space="preserve">Срочные денежные переводы являются одним из продуктов, спрос на которые продолжает устойчиво возрастать.  </w:t>
      </w:r>
      <w:proofErr w:type="spellStart"/>
      <w:r w:rsidRPr="00026244">
        <w:rPr>
          <w:rFonts w:ascii="Palatino Linotype" w:hAnsi="Palatino Linotype"/>
        </w:rPr>
        <w:t>Амонатбонк</w:t>
      </w:r>
      <w:proofErr w:type="spellEnd"/>
      <w:r w:rsidRPr="00026244">
        <w:rPr>
          <w:rFonts w:ascii="Palatino Linotype" w:hAnsi="Palatino Linotype"/>
        </w:rPr>
        <w:t xml:space="preserve"> продолжает сотрудничать с 12 международными системами денежных переводов, такими как: Вестерн </w:t>
      </w:r>
      <w:proofErr w:type="spellStart"/>
      <w:r w:rsidRPr="00026244">
        <w:rPr>
          <w:rFonts w:ascii="Palatino Linotype" w:hAnsi="Palatino Linotype"/>
        </w:rPr>
        <w:t>Юнион</w:t>
      </w:r>
      <w:proofErr w:type="spellEnd"/>
      <w:r w:rsidRPr="00026244">
        <w:rPr>
          <w:rFonts w:ascii="Palatino Linotype" w:hAnsi="Palatino Linotype"/>
        </w:rPr>
        <w:t xml:space="preserve">, </w:t>
      </w:r>
      <w:proofErr w:type="spellStart"/>
      <w:r w:rsidRPr="00026244">
        <w:rPr>
          <w:rFonts w:ascii="Palatino Linotype" w:hAnsi="Palatino Linotype"/>
        </w:rPr>
        <w:t>Анелик</w:t>
      </w:r>
      <w:proofErr w:type="spellEnd"/>
      <w:r w:rsidRPr="00026244">
        <w:rPr>
          <w:rFonts w:ascii="Palatino Linotype" w:hAnsi="Palatino Linotype"/>
        </w:rPr>
        <w:t xml:space="preserve">, Быстрая Почта, Контакт, Мигом, </w:t>
      </w:r>
      <w:proofErr w:type="spellStart"/>
      <w:r w:rsidRPr="00026244">
        <w:rPr>
          <w:rFonts w:ascii="Palatino Linotype" w:hAnsi="Palatino Linotype"/>
        </w:rPr>
        <w:t>Интер</w:t>
      </w:r>
      <w:proofErr w:type="spellEnd"/>
      <w:r w:rsidRPr="00026244">
        <w:rPr>
          <w:rFonts w:ascii="Palatino Linotype" w:hAnsi="Palatino Linotype"/>
        </w:rPr>
        <w:t xml:space="preserve"> Экспресс, </w:t>
      </w:r>
      <w:proofErr w:type="spellStart"/>
      <w:r w:rsidRPr="00026244">
        <w:rPr>
          <w:rFonts w:ascii="Palatino Linotype" w:hAnsi="Palatino Linotype"/>
        </w:rPr>
        <w:t>Юнистрим</w:t>
      </w:r>
      <w:proofErr w:type="spellEnd"/>
      <w:r w:rsidRPr="00026244">
        <w:rPr>
          <w:rFonts w:ascii="Palatino Linotype" w:hAnsi="Palatino Linotype"/>
        </w:rPr>
        <w:t xml:space="preserve">, Золотая Корона, Лидер, Близко, </w:t>
      </w:r>
      <w:proofErr w:type="spellStart"/>
      <w:r w:rsidRPr="00026244">
        <w:rPr>
          <w:rFonts w:ascii="Palatino Linotype" w:hAnsi="Palatino Linotype"/>
        </w:rPr>
        <w:t>Маниграмм</w:t>
      </w:r>
      <w:proofErr w:type="spellEnd"/>
      <w:r w:rsidRPr="00026244">
        <w:rPr>
          <w:rFonts w:ascii="Palatino Linotype" w:hAnsi="Palatino Linotype"/>
        </w:rPr>
        <w:t xml:space="preserve"> и </w:t>
      </w:r>
      <w:r w:rsidRPr="00026244">
        <w:rPr>
          <w:rFonts w:ascii="Palatino Linotype" w:hAnsi="Palatino Linotype"/>
          <w:lang w:val="en-US"/>
        </w:rPr>
        <w:t>SWIFT</w:t>
      </w:r>
      <w:r w:rsidRPr="00026244">
        <w:rPr>
          <w:rFonts w:ascii="Palatino Linotype" w:hAnsi="Palatino Linotype"/>
        </w:rPr>
        <w:t>.  В 2011 году число  пунктов денежных переводов по всей Республике работающих в сфере выдачи и отправки денежных переводов увеличилось до 142 единиц. Только в  2011 году было открыто 16 новых пунктов денежных переводов в разных уголках страны.</w:t>
      </w:r>
    </w:p>
    <w:p w:rsidR="00FB5F40" w:rsidRPr="00026244" w:rsidRDefault="00FB5F40" w:rsidP="00664E58">
      <w:pPr>
        <w:pStyle w:val="af"/>
        <w:rPr>
          <w:rFonts w:ascii="Palatino Linotype" w:hAnsi="Palatino Linotype"/>
          <w:sz w:val="22"/>
          <w:szCs w:val="22"/>
          <w:lang w:eastAsia="en-US"/>
        </w:rPr>
      </w:pPr>
      <w:r w:rsidRPr="00026244">
        <w:rPr>
          <w:rFonts w:ascii="Palatino Linotype" w:hAnsi="Palatino Linotype"/>
          <w:sz w:val="22"/>
          <w:szCs w:val="22"/>
          <w:lang w:eastAsia="en-US"/>
        </w:rPr>
        <w:t xml:space="preserve">В 2011 году в  Амонатбанк  поступило денежных переводов на сумму 551,0 млн. долларов США,  что по отношению с 2010 годом увеличилось на 67% или на 221 млн. долларов США. Резкое увеличение денежных переводов  во многом стало возможным за счет ликвидности банка, увеличения числа пунктов денежных переводов и сплоченной работы сотрудников Банка.  </w:t>
      </w: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766A11" w:rsidRPr="00026244" w:rsidRDefault="00766A11" w:rsidP="00533655">
      <w:pPr>
        <w:spacing w:after="0"/>
        <w:ind w:firstLine="284"/>
        <w:jc w:val="both"/>
        <w:rPr>
          <w:rFonts w:ascii="Palatino Linotype" w:hAnsi="Palatino Linotype"/>
          <w:b/>
          <w:sz w:val="20"/>
          <w:szCs w:val="20"/>
        </w:rPr>
      </w:pPr>
    </w:p>
    <w:p w:rsidR="00766A11" w:rsidRPr="00026244" w:rsidRDefault="00766A11" w:rsidP="00533655">
      <w:pPr>
        <w:spacing w:after="0"/>
        <w:ind w:firstLine="284"/>
        <w:jc w:val="both"/>
        <w:rPr>
          <w:rFonts w:ascii="Palatino Linotype" w:hAnsi="Palatino Linotype"/>
          <w:b/>
          <w:sz w:val="20"/>
          <w:szCs w:val="20"/>
        </w:rPr>
      </w:pPr>
    </w:p>
    <w:p w:rsidR="00766A11" w:rsidRPr="00026244" w:rsidRDefault="00766A11" w:rsidP="00533655">
      <w:pPr>
        <w:spacing w:after="0"/>
        <w:ind w:firstLine="284"/>
        <w:jc w:val="both"/>
        <w:rPr>
          <w:rFonts w:ascii="Palatino Linotype" w:hAnsi="Palatino Linotype"/>
          <w:b/>
          <w:sz w:val="20"/>
          <w:szCs w:val="20"/>
        </w:rPr>
      </w:pPr>
    </w:p>
    <w:p w:rsidR="00766A11" w:rsidRPr="00026244" w:rsidRDefault="00766A11"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sz w:val="20"/>
          <w:szCs w:val="20"/>
        </w:rPr>
      </w:pPr>
    </w:p>
    <w:p w:rsidR="00FB5F40" w:rsidRPr="00026244" w:rsidRDefault="00FB5F40" w:rsidP="00533655">
      <w:pPr>
        <w:spacing w:after="0"/>
        <w:ind w:firstLine="284"/>
        <w:jc w:val="both"/>
        <w:rPr>
          <w:rFonts w:ascii="Palatino Linotype" w:hAnsi="Palatino Linotype"/>
          <w:b/>
          <w:color w:val="8064A2"/>
          <w:sz w:val="28"/>
          <w:szCs w:val="28"/>
          <w:lang w:val="en-US"/>
        </w:rPr>
      </w:pPr>
      <w:proofErr w:type="gramStart"/>
      <w:r w:rsidRPr="00026244">
        <w:rPr>
          <w:rFonts w:ascii="Palatino Linotype" w:hAnsi="Palatino Linotype"/>
          <w:b/>
          <w:color w:val="8064A2"/>
          <w:sz w:val="28"/>
          <w:szCs w:val="28"/>
          <w:lang w:val="en-US"/>
        </w:rPr>
        <w:t>Remittances.</w:t>
      </w:r>
      <w:proofErr w:type="gramEnd"/>
      <w:r w:rsidRPr="00026244">
        <w:rPr>
          <w:rFonts w:ascii="Palatino Linotype" w:hAnsi="Palatino Linotype"/>
          <w:b/>
          <w:color w:val="8064A2"/>
          <w:sz w:val="28"/>
          <w:szCs w:val="28"/>
          <w:lang w:val="en-US"/>
        </w:rPr>
        <w:t xml:space="preserve"> </w:t>
      </w:r>
    </w:p>
    <w:p w:rsidR="00FB5F40" w:rsidRPr="00026244" w:rsidRDefault="00FB5F40" w:rsidP="00533655">
      <w:pPr>
        <w:spacing w:after="0"/>
        <w:ind w:firstLine="284"/>
        <w:jc w:val="both"/>
        <w:rPr>
          <w:rFonts w:ascii="Palatino Linotype" w:hAnsi="Palatino Linotype"/>
          <w:b/>
          <w:sz w:val="20"/>
          <w:szCs w:val="20"/>
          <w:lang w:val="en-US"/>
        </w:rPr>
      </w:pPr>
    </w:p>
    <w:p w:rsidR="00FB5F40" w:rsidRPr="00026244" w:rsidRDefault="00FB5F40" w:rsidP="00766A11">
      <w:pPr>
        <w:spacing w:after="0" w:line="324" w:lineRule="auto"/>
        <w:ind w:firstLine="284"/>
        <w:jc w:val="both"/>
        <w:rPr>
          <w:rFonts w:ascii="Palatino Linotype" w:hAnsi="Palatino Linotype"/>
          <w:lang w:val="en-US"/>
        </w:rPr>
      </w:pPr>
      <w:r w:rsidRPr="00026244">
        <w:rPr>
          <w:rFonts w:ascii="Palatino Linotype" w:hAnsi="Palatino Linotype"/>
          <w:lang w:val="en-US"/>
        </w:rPr>
        <w:t xml:space="preserve">Express money transfer is one of the products which </w:t>
      </w:r>
      <w:proofErr w:type="gramStart"/>
      <w:r w:rsidRPr="00026244">
        <w:rPr>
          <w:rFonts w:ascii="Palatino Linotype" w:hAnsi="Palatino Linotype"/>
          <w:lang w:val="en-US"/>
        </w:rPr>
        <w:t>is</w:t>
      </w:r>
      <w:proofErr w:type="gramEnd"/>
      <w:r w:rsidRPr="00026244">
        <w:rPr>
          <w:rFonts w:ascii="Palatino Linotype" w:hAnsi="Palatino Linotype"/>
          <w:lang w:val="en-US"/>
        </w:rPr>
        <w:t xml:space="preserve"> in high demand and the demand is stably increasing.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has been cooperating with 12 International money transfer systems, such as: Western</w:t>
      </w:r>
      <w:r w:rsidR="00346354" w:rsidRPr="00026244">
        <w:rPr>
          <w:rFonts w:ascii="Palatino Linotype" w:hAnsi="Palatino Linotype"/>
          <w:lang w:val="en-US"/>
        </w:rPr>
        <w:t xml:space="preserve"> </w:t>
      </w:r>
      <w:r w:rsidRPr="00026244">
        <w:rPr>
          <w:rFonts w:ascii="Palatino Linotype" w:hAnsi="Palatino Linotype"/>
          <w:lang w:val="en-US"/>
        </w:rPr>
        <w:t xml:space="preserve">Union, </w:t>
      </w:r>
      <w:proofErr w:type="spellStart"/>
      <w:r w:rsidRPr="00026244">
        <w:rPr>
          <w:rFonts w:ascii="Palatino Linotype" w:hAnsi="Palatino Linotype"/>
          <w:lang w:val="en-US"/>
        </w:rPr>
        <w:t>Anelik</w:t>
      </w:r>
      <w:proofErr w:type="spellEnd"/>
      <w:r w:rsidRPr="00026244">
        <w:rPr>
          <w:rFonts w:ascii="Palatino Linotype" w:hAnsi="Palatino Linotype"/>
          <w:lang w:val="en-US"/>
        </w:rPr>
        <w:t xml:space="preserve">, </w:t>
      </w:r>
      <w:proofErr w:type="spellStart"/>
      <w:proofErr w:type="gramStart"/>
      <w:r w:rsidRPr="00026244">
        <w:rPr>
          <w:rFonts w:ascii="Palatino Linotype" w:hAnsi="Palatino Linotype"/>
          <w:lang w:val="en-US"/>
        </w:rPr>
        <w:t>Bystraya</w:t>
      </w:r>
      <w:proofErr w:type="spellEnd"/>
      <w:proofErr w:type="gramEnd"/>
      <w:r w:rsidR="00346354" w:rsidRPr="00026244">
        <w:rPr>
          <w:rFonts w:ascii="Palatino Linotype" w:hAnsi="Palatino Linotype"/>
          <w:lang w:val="en-US"/>
        </w:rPr>
        <w:t xml:space="preserve"> </w:t>
      </w:r>
      <w:proofErr w:type="spellStart"/>
      <w:r w:rsidRPr="00026244">
        <w:rPr>
          <w:rFonts w:ascii="Palatino Linotype" w:hAnsi="Palatino Linotype"/>
          <w:lang w:val="en-US"/>
        </w:rPr>
        <w:t>pochta</w:t>
      </w:r>
      <w:proofErr w:type="spellEnd"/>
      <w:r w:rsidRPr="00026244">
        <w:rPr>
          <w:rFonts w:ascii="Palatino Linotype" w:hAnsi="Palatino Linotype"/>
          <w:lang w:val="en-US"/>
        </w:rPr>
        <w:t xml:space="preserve">, Contact, </w:t>
      </w:r>
      <w:proofErr w:type="spellStart"/>
      <w:r w:rsidRPr="00026244">
        <w:rPr>
          <w:rFonts w:ascii="Palatino Linotype" w:hAnsi="Palatino Linotype"/>
          <w:lang w:val="en-US"/>
        </w:rPr>
        <w:t>Migom</w:t>
      </w:r>
      <w:proofErr w:type="spellEnd"/>
      <w:r w:rsidRPr="00026244">
        <w:rPr>
          <w:rFonts w:ascii="Palatino Linotype" w:hAnsi="Palatino Linotype"/>
          <w:lang w:val="en-US"/>
        </w:rPr>
        <w:t xml:space="preserve">, Inter-express, </w:t>
      </w:r>
      <w:proofErr w:type="spellStart"/>
      <w:r w:rsidRPr="00026244">
        <w:rPr>
          <w:rFonts w:ascii="Palatino Linotype" w:hAnsi="Palatino Linotype"/>
          <w:lang w:val="en-US"/>
        </w:rPr>
        <w:t>Unistream</w:t>
      </w:r>
      <w:proofErr w:type="spellEnd"/>
      <w:r w:rsidRPr="00026244">
        <w:rPr>
          <w:rFonts w:ascii="Palatino Linotype" w:hAnsi="Palatino Linotype"/>
          <w:lang w:val="en-US"/>
        </w:rPr>
        <w:t xml:space="preserve">, </w:t>
      </w:r>
      <w:proofErr w:type="spellStart"/>
      <w:r w:rsidRPr="00026244">
        <w:rPr>
          <w:rFonts w:ascii="Palatino Linotype" w:hAnsi="Palatino Linotype"/>
          <w:lang w:val="en-US"/>
        </w:rPr>
        <w:t>Zolotaya</w:t>
      </w:r>
      <w:proofErr w:type="spellEnd"/>
      <w:r w:rsidR="00346354" w:rsidRPr="00026244">
        <w:rPr>
          <w:rFonts w:ascii="Palatino Linotype" w:hAnsi="Palatino Linotype"/>
          <w:lang w:val="en-US"/>
        </w:rPr>
        <w:t xml:space="preserve"> </w:t>
      </w:r>
      <w:proofErr w:type="spellStart"/>
      <w:r w:rsidRPr="00026244">
        <w:rPr>
          <w:rFonts w:ascii="Palatino Linotype" w:hAnsi="Palatino Linotype"/>
          <w:lang w:val="en-US"/>
        </w:rPr>
        <w:t>Korona</w:t>
      </w:r>
      <w:proofErr w:type="spellEnd"/>
      <w:r w:rsidRPr="00026244">
        <w:rPr>
          <w:rFonts w:ascii="Palatino Linotype" w:hAnsi="Palatino Linotype"/>
          <w:lang w:val="en-US"/>
        </w:rPr>
        <w:t xml:space="preserve">, Leader, </w:t>
      </w:r>
      <w:proofErr w:type="spellStart"/>
      <w:r w:rsidRPr="00026244">
        <w:rPr>
          <w:rFonts w:ascii="Palatino Linotype" w:hAnsi="Palatino Linotype"/>
          <w:lang w:val="en-US"/>
        </w:rPr>
        <w:t>Blizko</w:t>
      </w:r>
      <w:proofErr w:type="spellEnd"/>
      <w:r w:rsidRPr="00026244">
        <w:rPr>
          <w:rFonts w:ascii="Palatino Linotype" w:hAnsi="Palatino Linotype"/>
          <w:lang w:val="en-US"/>
        </w:rPr>
        <w:t>, MoneyGram and SWIFT.  In 2011 the number of money transfer points increased to 142 only in 2011 were opened 16new points in different regions of the country.</w:t>
      </w:r>
    </w:p>
    <w:p w:rsidR="00FB5F40" w:rsidRPr="00026244" w:rsidRDefault="00FB5F40" w:rsidP="00766A11">
      <w:pPr>
        <w:spacing w:after="0" w:line="324" w:lineRule="auto"/>
        <w:ind w:firstLine="284"/>
        <w:jc w:val="both"/>
        <w:rPr>
          <w:rFonts w:ascii="Palatino Linotype" w:hAnsi="Palatino Linotype"/>
          <w:lang w:val="en-US"/>
        </w:rPr>
      </w:pPr>
      <w:r w:rsidRPr="00026244">
        <w:rPr>
          <w:rFonts w:ascii="Palatino Linotype" w:hAnsi="Palatino Linotype"/>
          <w:lang w:val="en-US"/>
        </w:rPr>
        <w:t xml:space="preserve">In 2011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received remittances to the sum of 551</w:t>
      </w:r>
      <w:proofErr w:type="gramStart"/>
      <w:r w:rsidR="00905F9B" w:rsidRPr="00026244">
        <w:rPr>
          <w:rFonts w:ascii="Palatino Linotype" w:hAnsi="Palatino Linotype"/>
          <w:lang w:val="en-US"/>
        </w:rPr>
        <w:t>,</w:t>
      </w:r>
      <w:r w:rsidRPr="00026244">
        <w:rPr>
          <w:rFonts w:ascii="Palatino Linotype" w:hAnsi="Palatino Linotype"/>
          <w:lang w:val="en-US"/>
        </w:rPr>
        <w:t>0</w:t>
      </w:r>
      <w:proofErr w:type="gramEnd"/>
      <w:r w:rsidRPr="00026244">
        <w:rPr>
          <w:rFonts w:ascii="Palatino Linotype" w:hAnsi="Palatino Linotype"/>
          <w:lang w:val="en-US"/>
        </w:rPr>
        <w:t xml:space="preserve"> million USD w</w:t>
      </w:r>
      <w:r w:rsidR="00346354" w:rsidRPr="00026244">
        <w:rPr>
          <w:rFonts w:ascii="Palatino Linotype" w:hAnsi="Palatino Linotype"/>
          <w:lang w:val="en-US"/>
        </w:rPr>
        <w:t>h</w:t>
      </w:r>
      <w:r w:rsidRPr="00026244">
        <w:rPr>
          <w:rFonts w:ascii="Palatino Linotype" w:hAnsi="Palatino Linotype"/>
          <w:lang w:val="en-US"/>
        </w:rPr>
        <w:t xml:space="preserve">ich in comparison with 2010 increased  by 67% or 221 million USD more than the past year. This drastic increase in remittances was mainly resulted in by the high liquidity of the Bank, by increasing the number of money transfer points and thanks to the cohesive work of the staff of the Bank.   </w:t>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905F9B" w:rsidRPr="00026244" w:rsidRDefault="00766A11" w:rsidP="00533655">
      <w:pPr>
        <w:spacing w:after="0"/>
        <w:ind w:firstLine="284"/>
        <w:jc w:val="both"/>
        <w:rPr>
          <w:rFonts w:ascii="Palatino Linotype" w:hAnsi="Palatino Linotype"/>
          <w:lang w:val="en-US"/>
        </w:rPr>
      </w:pPr>
      <w:r w:rsidRPr="00026244">
        <w:rPr>
          <w:rFonts w:ascii="Palatino Linotype" w:hAnsi="Palatino Linotype"/>
          <w:noProof/>
          <w:lang w:eastAsia="ru-RU"/>
        </w:rPr>
        <w:lastRenderedPageBreak/>
        <w:drawing>
          <wp:anchor distT="0" distB="0" distL="114300" distR="114300" simplePos="0" relativeHeight="251657728" behindDoc="0" locked="0" layoutInCell="1" allowOverlap="1" wp14:anchorId="1C4BCA51" wp14:editId="229D3E39">
            <wp:simplePos x="0" y="0"/>
            <wp:positionH relativeFrom="column">
              <wp:posOffset>813435</wp:posOffset>
            </wp:positionH>
            <wp:positionV relativeFrom="paragraph">
              <wp:posOffset>-46990</wp:posOffset>
            </wp:positionV>
            <wp:extent cx="4316730" cy="2930525"/>
            <wp:effectExtent l="0" t="0" r="26670" b="22225"/>
            <wp:wrapNone/>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905F9B" w:rsidRPr="00026244" w:rsidRDefault="00905F9B"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766A11" w:rsidP="00533655">
      <w:pPr>
        <w:spacing w:after="0"/>
        <w:ind w:firstLine="284"/>
        <w:jc w:val="both"/>
        <w:rPr>
          <w:rFonts w:ascii="Palatino Linotype" w:hAnsi="Palatino Linotype"/>
          <w:lang w:val="en-US"/>
        </w:rPr>
      </w:pPr>
      <w:r w:rsidRPr="00026244">
        <w:rPr>
          <w:noProof/>
          <w:lang w:eastAsia="ru-RU"/>
        </w:rPr>
        <w:drawing>
          <wp:anchor distT="0" distB="4826" distL="114300" distR="116586" simplePos="0" relativeHeight="251656704" behindDoc="0" locked="0" layoutInCell="1" allowOverlap="1" wp14:anchorId="0568DE69" wp14:editId="2329237C">
            <wp:simplePos x="0" y="0"/>
            <wp:positionH relativeFrom="column">
              <wp:posOffset>33020</wp:posOffset>
            </wp:positionH>
            <wp:positionV relativeFrom="paragraph">
              <wp:posOffset>938530</wp:posOffset>
            </wp:positionV>
            <wp:extent cx="6035040" cy="3529330"/>
            <wp:effectExtent l="0" t="0" r="3810" b="0"/>
            <wp:wrapTopAndBottom/>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766A11" w:rsidRPr="00026244" w:rsidRDefault="00766A11" w:rsidP="00EF010A">
      <w:pPr>
        <w:spacing w:after="0"/>
        <w:rPr>
          <w:rFonts w:ascii="Palatino Linotype" w:hAnsi="Palatino Linotype"/>
          <w:b/>
          <w:color w:val="006600"/>
          <w:sz w:val="28"/>
          <w:szCs w:val="28"/>
          <w:lang w:val="en-US"/>
        </w:rPr>
        <w:sectPr w:rsidR="00766A11" w:rsidRPr="00026244" w:rsidSect="00766A11">
          <w:type w:val="continuous"/>
          <w:pgSz w:w="11906" w:h="16838"/>
          <w:pgMar w:top="1134" w:right="850" w:bottom="1134" w:left="1134" w:header="708" w:footer="708" w:gutter="0"/>
          <w:cols w:num="2" w:space="566"/>
          <w:docGrid w:linePitch="360"/>
        </w:sectPr>
      </w:pPr>
    </w:p>
    <w:p w:rsidR="00FB5F40" w:rsidRPr="00026244" w:rsidRDefault="00FB5F40" w:rsidP="00EF010A">
      <w:pPr>
        <w:spacing w:after="0"/>
        <w:rPr>
          <w:rFonts w:ascii="Palatino Linotype" w:hAnsi="Palatino Linotype"/>
          <w:color w:val="006600"/>
          <w:sz w:val="28"/>
          <w:szCs w:val="28"/>
        </w:rPr>
      </w:pPr>
      <w:r w:rsidRPr="00026244">
        <w:rPr>
          <w:rFonts w:ascii="Palatino Linotype" w:hAnsi="Palatino Linotype"/>
          <w:b/>
          <w:color w:val="006600"/>
          <w:sz w:val="28"/>
          <w:szCs w:val="28"/>
        </w:rPr>
        <w:lastRenderedPageBreak/>
        <w:t>ИНВЕСТИЦИОННАЯ ДЕЯТЕЛЬНОСТЬ И                                        МЕЖБАНКОВСКИЕ ОПЕРАЦИИ.</w:t>
      </w:r>
    </w:p>
    <w:p w:rsidR="00FB5F40" w:rsidRPr="00026244" w:rsidRDefault="00FB5F40" w:rsidP="00EF010A">
      <w:pPr>
        <w:spacing w:after="0"/>
        <w:jc w:val="both"/>
        <w:rPr>
          <w:rFonts w:ascii="Palatino Linotype" w:hAnsi="Palatino Linotype"/>
          <w:color w:val="8064A2"/>
          <w:sz w:val="28"/>
          <w:szCs w:val="28"/>
          <w:lang w:val="en-US"/>
        </w:rPr>
      </w:pPr>
      <w:r w:rsidRPr="00026244">
        <w:rPr>
          <w:rFonts w:ascii="Palatino Linotype" w:hAnsi="Palatino Linotype"/>
          <w:b/>
          <w:color w:val="8064A2"/>
          <w:sz w:val="28"/>
          <w:szCs w:val="28"/>
          <w:lang w:val="en-US"/>
        </w:rPr>
        <w:t>INVESTMENT ACTIVITIES AND INTER-BANK TRANSACTIONS</w:t>
      </w:r>
    </w:p>
    <w:p w:rsidR="00FB5F40" w:rsidRPr="00026244" w:rsidRDefault="00FB5F40" w:rsidP="00533655">
      <w:pPr>
        <w:spacing w:after="0"/>
        <w:ind w:firstLine="284"/>
        <w:jc w:val="both"/>
        <w:rPr>
          <w:rFonts w:ascii="Palatino Linotype" w:hAnsi="Palatino Linotype"/>
          <w:lang w:val="en-US"/>
        </w:rPr>
        <w:sectPr w:rsidR="00FB5F40" w:rsidRPr="00026244" w:rsidSect="00EF010A">
          <w:type w:val="continuous"/>
          <w:pgSz w:w="11906" w:h="16838"/>
          <w:pgMar w:top="1134" w:right="850" w:bottom="1134" w:left="1134" w:header="708" w:footer="708" w:gutter="0"/>
          <w:cols w:space="566"/>
          <w:docGrid w:linePitch="360"/>
        </w:sectPr>
      </w:pPr>
    </w:p>
    <w:p w:rsidR="00FB5F40" w:rsidRPr="00026244" w:rsidRDefault="00FB5F40" w:rsidP="00533655">
      <w:pPr>
        <w:spacing w:after="0"/>
        <w:ind w:firstLine="284"/>
        <w:jc w:val="both"/>
        <w:rPr>
          <w:rFonts w:ascii="Palatino Linotype" w:hAnsi="Palatino Linotype"/>
          <w:lang w:val="en-US"/>
        </w:rPr>
      </w:pPr>
    </w:p>
    <w:p w:rsidR="00CA55DB" w:rsidRPr="00026244" w:rsidRDefault="00FB5F40" w:rsidP="00E554BF">
      <w:pPr>
        <w:spacing w:after="0"/>
        <w:jc w:val="both"/>
        <w:rPr>
          <w:rFonts w:ascii="Palatino Linotype" w:hAnsi="Palatino Linotype"/>
          <w:sz w:val="28"/>
          <w:szCs w:val="28"/>
        </w:rPr>
      </w:pPr>
      <w:r w:rsidRPr="00026244">
        <w:rPr>
          <w:rFonts w:ascii="Palatino Linotype" w:hAnsi="Palatino Linotype"/>
          <w:b/>
          <w:sz w:val="28"/>
          <w:szCs w:val="28"/>
        </w:rPr>
        <w:t>Инвестиционная деятельность</w:t>
      </w:r>
      <w:r w:rsidRPr="00026244">
        <w:rPr>
          <w:rFonts w:ascii="Palatino Linotype" w:hAnsi="Palatino Linotype"/>
          <w:sz w:val="28"/>
          <w:szCs w:val="28"/>
        </w:rPr>
        <w:t>.</w:t>
      </w:r>
    </w:p>
    <w:p w:rsidR="00CA55DB" w:rsidRPr="00026244" w:rsidRDefault="00CA55DB" w:rsidP="00E554BF">
      <w:pPr>
        <w:spacing w:after="0"/>
        <w:jc w:val="both"/>
        <w:rPr>
          <w:rFonts w:ascii="Palatino Linotype" w:hAnsi="Palatino Linotype"/>
          <w:sz w:val="28"/>
          <w:szCs w:val="28"/>
        </w:rPr>
      </w:pPr>
    </w:p>
    <w:p w:rsidR="00FB5F40" w:rsidRPr="00026244" w:rsidRDefault="00FB5F40" w:rsidP="00E554BF">
      <w:pPr>
        <w:spacing w:after="0"/>
        <w:jc w:val="both"/>
        <w:rPr>
          <w:rFonts w:ascii="Palatino Linotype" w:hAnsi="Palatino Linotype"/>
          <w:b/>
        </w:rPr>
      </w:pPr>
      <w:r w:rsidRPr="00026244">
        <w:rPr>
          <w:rFonts w:ascii="Palatino Linotype" w:hAnsi="Palatino Linotype"/>
        </w:rPr>
        <w:t>Инвестиционное направление является одним из значимых в  деятельности  Банка,  поскольку  позволяет  эффективно управлять   ликвидностью.   Являясь   активным  участником  существующего рынка  ценных  бумаг в республике,  Банк  управляет  портфелем, состоящим, в основном, из государственных облигаций, депозитных сертификатов НБТ, государственных казначейских векселей  и, в незначительной степени, из акций.</w:t>
      </w:r>
    </w:p>
    <w:p w:rsidR="00FB5F40" w:rsidRPr="00026244" w:rsidRDefault="00FB5F40" w:rsidP="00E554BF">
      <w:pPr>
        <w:spacing w:after="0"/>
        <w:ind w:firstLine="567"/>
        <w:jc w:val="both"/>
        <w:rPr>
          <w:rFonts w:ascii="Palatino Linotype" w:hAnsi="Palatino Linotype"/>
        </w:rPr>
      </w:pPr>
      <w:r w:rsidRPr="00026244">
        <w:rPr>
          <w:rFonts w:ascii="Palatino Linotype" w:hAnsi="Palatino Linotype"/>
        </w:rPr>
        <w:tab/>
        <w:t xml:space="preserve">Амонатбанк имея статус государственного банка является агентом по хранению, размещению и обслуживанию облигаций Государственного внутреннего выигрышного займа Республики  Таджикистан. С 1 марта 2009-го года, вместо облигаций Государственного внутреннего выигрышного займа 2002-го года, были выпущены в обращение облигаций Государственного внутреннего выигрышного займа Республики  Таджикистан 2009 года, номиналом в 10 и 20 </w:t>
      </w:r>
      <w:proofErr w:type="spellStart"/>
      <w:r w:rsidRPr="00026244">
        <w:rPr>
          <w:rFonts w:ascii="Palatino Linotype" w:hAnsi="Palatino Linotype"/>
        </w:rPr>
        <w:t>сомони</w:t>
      </w:r>
      <w:proofErr w:type="spellEnd"/>
      <w:r w:rsidRPr="00026244">
        <w:rPr>
          <w:rFonts w:ascii="Palatino Linotype" w:hAnsi="Palatino Linotype"/>
        </w:rPr>
        <w:t xml:space="preserve">, сроком на 10 лет, на общую сумму 10 млн. </w:t>
      </w:r>
      <w:proofErr w:type="spellStart"/>
      <w:r w:rsidRPr="00026244">
        <w:rPr>
          <w:rFonts w:ascii="Palatino Linotype" w:hAnsi="Palatino Linotype"/>
        </w:rPr>
        <w:t>сомони</w:t>
      </w:r>
      <w:proofErr w:type="spellEnd"/>
      <w:r w:rsidRPr="00026244">
        <w:rPr>
          <w:rFonts w:ascii="Palatino Linotype" w:hAnsi="Palatino Linotype"/>
        </w:rPr>
        <w:t>.  В связи с этим Банк и на сегодня выполняет данную миссию.</w:t>
      </w:r>
    </w:p>
    <w:p w:rsidR="00FB5F40" w:rsidRPr="00026244" w:rsidRDefault="00FB5F40" w:rsidP="004C6488">
      <w:pPr>
        <w:jc w:val="both"/>
        <w:rPr>
          <w:rFonts w:ascii="Palatino Linotype" w:hAnsi="Palatino Linotype"/>
          <w:b/>
        </w:rPr>
      </w:pPr>
      <w:r w:rsidRPr="00026244">
        <w:rPr>
          <w:rFonts w:ascii="Palatino Linotype" w:hAnsi="Palatino Linotype"/>
        </w:rPr>
        <w:t xml:space="preserve">     В  2011 году  Банк участвовал в 16 аукционах которые  проводились  Национальным  банком   Таджикистана с общей   суммой  участия  в  аукционах     73  млн.  </w:t>
      </w:r>
      <w:proofErr w:type="spellStart"/>
      <w:r w:rsidRPr="00026244">
        <w:rPr>
          <w:rFonts w:ascii="Palatino Linotype" w:hAnsi="Palatino Linotype"/>
        </w:rPr>
        <w:t>сомони</w:t>
      </w:r>
      <w:proofErr w:type="spellEnd"/>
      <w:r w:rsidRPr="00026244">
        <w:rPr>
          <w:rFonts w:ascii="Palatino Linotype" w:hAnsi="Palatino Linotype"/>
        </w:rPr>
        <w:t xml:space="preserve">.  В результате чего полученные  доходы  составляют  767  тысяч  </w:t>
      </w:r>
      <w:proofErr w:type="spellStart"/>
      <w:r w:rsidRPr="00026244">
        <w:rPr>
          <w:rFonts w:ascii="Palatino Linotype" w:hAnsi="Palatino Linotype"/>
        </w:rPr>
        <w:t>сомони</w:t>
      </w:r>
      <w:proofErr w:type="spellEnd"/>
      <w:r w:rsidRPr="00026244">
        <w:rPr>
          <w:rFonts w:ascii="Palatino Linotype" w:hAnsi="Palatino Linotype"/>
        </w:rPr>
        <w:t>.  Доходность  этой операции   колебалась от  7%  до 16%  годовых, сроки  участия  денежных  средств  составляли от 7 до 91 дня.</w:t>
      </w:r>
    </w:p>
    <w:p w:rsidR="00FB5F40" w:rsidRPr="00026244" w:rsidRDefault="00FB5F40" w:rsidP="00EF010A">
      <w:pPr>
        <w:spacing w:after="0"/>
        <w:jc w:val="both"/>
        <w:rPr>
          <w:rFonts w:ascii="Palatino Linotype" w:hAnsi="Palatino Linotype"/>
          <w:b/>
          <w:sz w:val="28"/>
          <w:szCs w:val="28"/>
        </w:rPr>
      </w:pPr>
    </w:p>
    <w:p w:rsidR="00FB5F40" w:rsidRPr="00026244" w:rsidRDefault="00FB5F40" w:rsidP="00EF010A">
      <w:pPr>
        <w:spacing w:after="0"/>
        <w:jc w:val="both"/>
        <w:rPr>
          <w:rFonts w:ascii="Palatino Linotype" w:hAnsi="Palatino Linotype"/>
          <w:b/>
          <w:color w:val="8064A2"/>
          <w:sz w:val="28"/>
          <w:szCs w:val="28"/>
          <w:lang w:val="en-US"/>
        </w:rPr>
      </w:pPr>
      <w:proofErr w:type="gramStart"/>
      <w:r w:rsidRPr="00026244">
        <w:rPr>
          <w:rFonts w:ascii="Palatino Linotype" w:hAnsi="Palatino Linotype"/>
          <w:b/>
          <w:color w:val="8064A2"/>
          <w:sz w:val="28"/>
          <w:szCs w:val="28"/>
          <w:lang w:val="en-US"/>
        </w:rPr>
        <w:t>Investment activities.</w:t>
      </w:r>
      <w:proofErr w:type="gramEnd"/>
      <w:r w:rsidRPr="00026244">
        <w:rPr>
          <w:rFonts w:ascii="Palatino Linotype" w:hAnsi="Palatino Linotype"/>
          <w:b/>
          <w:color w:val="8064A2"/>
          <w:sz w:val="28"/>
          <w:szCs w:val="28"/>
          <w:lang w:val="en-US"/>
        </w:rPr>
        <w:t xml:space="preserve"> </w:t>
      </w:r>
    </w:p>
    <w:p w:rsidR="00CA55DB" w:rsidRPr="00026244" w:rsidRDefault="00CA55DB" w:rsidP="00EF010A">
      <w:pPr>
        <w:spacing w:after="0"/>
        <w:jc w:val="both"/>
        <w:rPr>
          <w:rFonts w:ascii="Palatino Linotype" w:hAnsi="Palatino Linotype"/>
          <w:b/>
          <w:color w:val="8064A2"/>
          <w:sz w:val="28"/>
          <w:szCs w:val="28"/>
          <w:lang w:val="en-US"/>
        </w:rPr>
      </w:pPr>
    </w:p>
    <w:p w:rsidR="00FB5F40" w:rsidRPr="00026244" w:rsidRDefault="00FB5F40" w:rsidP="00766A11">
      <w:pPr>
        <w:spacing w:line="336" w:lineRule="auto"/>
        <w:jc w:val="both"/>
        <w:rPr>
          <w:rFonts w:ascii="Palatino Linotype" w:hAnsi="Palatino Linotype"/>
          <w:lang w:val="en-US"/>
        </w:rPr>
      </w:pPr>
      <w:r w:rsidRPr="00026244">
        <w:rPr>
          <w:rFonts w:ascii="Palatino Linotype" w:hAnsi="Palatino Linotype"/>
          <w:lang w:val="en-US"/>
        </w:rPr>
        <w:t xml:space="preserve">Investment aspect is considered as one of the priorities in the Bank activities since it helps effectively manage the liquidity of the Bank.   Being and active participant of existing stock market of the country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manages a portfolio consisting of, mainly, State bonds, deposit certificates of NBT State Treasury bills of exchange and a minor portion of shares.           </w:t>
      </w:r>
    </w:p>
    <w:p w:rsidR="00FB5F40" w:rsidRPr="00026244" w:rsidRDefault="00FB5F40" w:rsidP="00766A11">
      <w:pPr>
        <w:spacing w:line="336" w:lineRule="auto"/>
        <w:jc w:val="both"/>
        <w:rPr>
          <w:rFonts w:ascii="Palatino Linotype" w:hAnsi="Palatino Linotype"/>
          <w:lang w:val="en-US"/>
        </w:rPr>
      </w:pPr>
      <w:r w:rsidRPr="00026244">
        <w:rPr>
          <w:rFonts w:ascii="Palatino Linotype" w:hAnsi="Palatino Linotype"/>
          <w:lang w:val="en-US"/>
        </w:rPr>
        <w:t xml:space="preserve">    Possessing the status of State Bank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is assigned and agent for keeping, placing and servicing Internal State premium bonds of the Republic of Tajikistan. Since March 1, 2009 the Internal State premium bonds of the Republic of Tajikistan of 2002 were replaced by those of 2009 with face value of 10-20 TJS with 10 years term to the total sum of 10 million TJS.  In this connection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is still in charge of this mission.</w:t>
      </w:r>
    </w:p>
    <w:p w:rsidR="00FB5F40" w:rsidRPr="00026244" w:rsidRDefault="00FB5F40" w:rsidP="00766A11">
      <w:pPr>
        <w:spacing w:after="0" w:line="336" w:lineRule="auto"/>
        <w:ind w:firstLine="567"/>
        <w:jc w:val="both"/>
        <w:rPr>
          <w:rFonts w:ascii="Palatino Linotype" w:hAnsi="Palatino Linotype"/>
          <w:lang w:val="en-US"/>
        </w:rPr>
      </w:pPr>
      <w:r w:rsidRPr="00026244">
        <w:rPr>
          <w:rFonts w:ascii="Palatino Linotype" w:hAnsi="Palatino Linotype"/>
          <w:lang w:val="en-US"/>
        </w:rPr>
        <w:t xml:space="preserve">In 2011 </w:t>
      </w:r>
      <w:proofErr w:type="spellStart"/>
      <w:r w:rsidRPr="00026244">
        <w:rPr>
          <w:rFonts w:ascii="Palatino Linotype" w:hAnsi="Palatino Linotype"/>
          <w:lang w:val="en-US"/>
        </w:rPr>
        <w:t>Amonatb</w:t>
      </w:r>
      <w:r w:rsidR="005C660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took part in 16 auctions to the total sum of 73 million TJS.  This participation brought to the Bank 767  thousand TJS profit.  Profitability of this transaction ranged from 7% to 16% per annum and the terms of participation ranged from 7 to 91 days. </w:t>
      </w:r>
    </w:p>
    <w:p w:rsidR="00FB5F40" w:rsidRPr="00026244" w:rsidRDefault="00FB5F40" w:rsidP="00EE5262">
      <w:pPr>
        <w:spacing w:after="0"/>
        <w:ind w:firstLine="567"/>
        <w:jc w:val="both"/>
        <w:rPr>
          <w:rFonts w:ascii="Palatino Linotype" w:hAnsi="Palatino Linotype"/>
          <w:lang w:val="en-US"/>
        </w:rPr>
      </w:pPr>
    </w:p>
    <w:p w:rsidR="00A25CA1" w:rsidRPr="00026244" w:rsidRDefault="00A25CA1" w:rsidP="00EE5262">
      <w:pPr>
        <w:spacing w:after="0"/>
        <w:ind w:firstLine="567"/>
        <w:jc w:val="both"/>
        <w:rPr>
          <w:rFonts w:ascii="Palatino Linotype" w:hAnsi="Palatino Linotype"/>
          <w:lang w:val="en-US"/>
        </w:rPr>
      </w:pPr>
    </w:p>
    <w:p w:rsidR="00A25CA1" w:rsidRPr="00026244" w:rsidRDefault="00A25CA1" w:rsidP="00EE5262">
      <w:pPr>
        <w:spacing w:after="0"/>
        <w:ind w:firstLine="567"/>
        <w:jc w:val="both"/>
        <w:rPr>
          <w:rFonts w:ascii="Palatino Linotype" w:hAnsi="Palatino Linotype"/>
          <w:lang w:val="en-US"/>
        </w:rPr>
      </w:pPr>
    </w:p>
    <w:p w:rsidR="00A25CA1" w:rsidRPr="00026244" w:rsidRDefault="00A25CA1" w:rsidP="00EE5262">
      <w:pPr>
        <w:spacing w:after="0"/>
        <w:ind w:firstLine="567"/>
        <w:jc w:val="both"/>
        <w:rPr>
          <w:rFonts w:ascii="Palatino Linotype" w:hAnsi="Palatino Linotype"/>
          <w:lang w:val="en-US"/>
        </w:rPr>
      </w:pPr>
    </w:p>
    <w:p w:rsidR="00A25CA1" w:rsidRPr="00026244" w:rsidRDefault="00766A11" w:rsidP="00EE5262">
      <w:pPr>
        <w:spacing w:after="0"/>
        <w:ind w:firstLine="567"/>
        <w:jc w:val="both"/>
        <w:rPr>
          <w:rFonts w:ascii="Palatino Linotype" w:hAnsi="Palatino Linotype"/>
          <w:lang w:val="en-US"/>
        </w:rPr>
      </w:pPr>
      <w:r w:rsidRPr="00026244">
        <w:rPr>
          <w:noProof/>
          <w:lang w:eastAsia="ru-RU"/>
        </w:rPr>
        <w:lastRenderedPageBreak/>
        <w:drawing>
          <wp:anchor distT="152400" distB="118491" distL="181356" distR="1067562" simplePos="0" relativeHeight="251658752" behindDoc="0" locked="0" layoutInCell="1" allowOverlap="1" wp14:anchorId="7C430E81" wp14:editId="33906F7D">
            <wp:simplePos x="0" y="0"/>
            <wp:positionH relativeFrom="column">
              <wp:posOffset>537210</wp:posOffset>
            </wp:positionH>
            <wp:positionV relativeFrom="paragraph">
              <wp:posOffset>-60667</wp:posOffset>
            </wp:positionV>
            <wp:extent cx="4633546" cy="2329962"/>
            <wp:effectExtent l="0" t="0" r="0" b="0"/>
            <wp:wrapNone/>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rsidR="00A25CA1" w:rsidRPr="00026244" w:rsidRDefault="00A25CA1" w:rsidP="00EE5262">
      <w:pPr>
        <w:spacing w:after="0"/>
        <w:ind w:firstLine="567"/>
        <w:jc w:val="both"/>
        <w:rPr>
          <w:rFonts w:ascii="Palatino Linotype" w:hAnsi="Palatino Linotype"/>
          <w:lang w:val="en-US"/>
        </w:rPr>
      </w:pPr>
    </w:p>
    <w:p w:rsidR="00FB5F40" w:rsidRPr="00026244" w:rsidRDefault="00FB5F40" w:rsidP="00EE5262">
      <w:pPr>
        <w:spacing w:after="0"/>
        <w:ind w:firstLine="567"/>
        <w:jc w:val="both"/>
        <w:rPr>
          <w:rFonts w:ascii="Palatino Linotype" w:hAnsi="Palatino Linotype"/>
          <w:lang w:val="en-US"/>
        </w:rPr>
      </w:pPr>
    </w:p>
    <w:p w:rsidR="00FB5F40" w:rsidRPr="00026244" w:rsidRDefault="00FB5F40" w:rsidP="00EE5262">
      <w:pPr>
        <w:spacing w:after="0"/>
        <w:ind w:firstLine="567"/>
        <w:jc w:val="both"/>
        <w:rPr>
          <w:rFonts w:ascii="Palatino Linotype" w:hAnsi="Palatino Linotype"/>
          <w:lang w:val="en-US"/>
        </w:rPr>
      </w:pPr>
    </w:p>
    <w:p w:rsidR="00FB5F40" w:rsidRPr="00026244" w:rsidRDefault="00FB5F40" w:rsidP="00EE5262">
      <w:pPr>
        <w:spacing w:after="0"/>
        <w:ind w:firstLine="567"/>
        <w:jc w:val="both"/>
        <w:rPr>
          <w:rFonts w:ascii="Palatino Linotype" w:hAnsi="Palatino Linotype"/>
          <w:lang w:val="en-US"/>
        </w:rPr>
      </w:pPr>
    </w:p>
    <w:p w:rsidR="00FB5F40" w:rsidRPr="00026244" w:rsidRDefault="00FB5F40" w:rsidP="00EE5262">
      <w:pPr>
        <w:spacing w:after="0"/>
        <w:ind w:firstLine="567"/>
        <w:jc w:val="both"/>
        <w:rPr>
          <w:rFonts w:ascii="Palatino Linotype" w:hAnsi="Palatino Linotype"/>
          <w:lang w:val="en-US"/>
        </w:rPr>
      </w:pPr>
    </w:p>
    <w:p w:rsidR="00FB5F40" w:rsidRPr="00026244" w:rsidRDefault="00FB5F40" w:rsidP="00EE5262">
      <w:pPr>
        <w:spacing w:after="0"/>
        <w:ind w:firstLine="567"/>
        <w:jc w:val="both"/>
        <w:rPr>
          <w:rFonts w:ascii="Palatino Linotype" w:hAnsi="Palatino Linotype"/>
          <w:lang w:val="en-US"/>
        </w:rPr>
      </w:pPr>
    </w:p>
    <w:p w:rsidR="00FB5F40" w:rsidRPr="00026244" w:rsidRDefault="00FB5F40" w:rsidP="00EE5262">
      <w:pPr>
        <w:spacing w:after="0"/>
        <w:ind w:firstLine="567"/>
        <w:jc w:val="both"/>
        <w:rPr>
          <w:rFonts w:ascii="Palatino Linotype" w:hAnsi="Palatino Linotype"/>
          <w:lang w:val="en-US"/>
        </w:rPr>
      </w:pPr>
    </w:p>
    <w:p w:rsidR="00FB5F40" w:rsidRPr="00026244" w:rsidRDefault="00FB5F40" w:rsidP="00E554BF">
      <w:pPr>
        <w:jc w:val="both"/>
        <w:rPr>
          <w:rFonts w:ascii="Palatino Linotype" w:hAnsi="Palatino Linotype"/>
          <w:lang w:val="en-US"/>
        </w:rPr>
      </w:pPr>
    </w:p>
    <w:p w:rsidR="00766A11" w:rsidRPr="00026244" w:rsidRDefault="00766A11" w:rsidP="00E554BF">
      <w:pPr>
        <w:jc w:val="both"/>
        <w:rPr>
          <w:rFonts w:ascii="Palatino Linotype" w:hAnsi="Palatino Linotype"/>
          <w:lang w:val="en-US"/>
        </w:rPr>
      </w:pPr>
    </w:p>
    <w:p w:rsidR="00766A11" w:rsidRPr="00026244" w:rsidRDefault="00766A11" w:rsidP="00E554BF">
      <w:pPr>
        <w:jc w:val="both"/>
        <w:rPr>
          <w:rFonts w:ascii="Palatino Linotype" w:hAnsi="Palatino Linotype"/>
          <w:lang w:val="en-US"/>
        </w:rPr>
      </w:pPr>
    </w:p>
    <w:p w:rsidR="00FB5F40" w:rsidRPr="00026244" w:rsidRDefault="00FB5F40" w:rsidP="00766A11">
      <w:pPr>
        <w:jc w:val="both"/>
        <w:rPr>
          <w:rFonts w:ascii="Palatino Linotype" w:hAnsi="Palatino Linotype"/>
          <w:sz w:val="28"/>
          <w:szCs w:val="28"/>
        </w:rPr>
      </w:pPr>
      <w:proofErr w:type="gramStart"/>
      <w:r w:rsidRPr="00026244">
        <w:rPr>
          <w:rFonts w:ascii="Palatino Linotype" w:hAnsi="Palatino Linotype"/>
          <w:b/>
          <w:sz w:val="28"/>
          <w:szCs w:val="28"/>
        </w:rPr>
        <w:t>Межбанковское</w:t>
      </w:r>
      <w:proofErr w:type="gramEnd"/>
      <w:r w:rsidRPr="00026244">
        <w:rPr>
          <w:rFonts w:ascii="Palatino Linotype" w:hAnsi="Palatino Linotype"/>
          <w:b/>
          <w:sz w:val="28"/>
          <w:szCs w:val="28"/>
        </w:rPr>
        <w:t xml:space="preserve"> операции</w:t>
      </w:r>
      <w:r w:rsidRPr="00026244">
        <w:rPr>
          <w:rFonts w:ascii="Palatino Linotype" w:hAnsi="Palatino Linotype"/>
          <w:sz w:val="28"/>
          <w:szCs w:val="28"/>
        </w:rPr>
        <w:t>.</w:t>
      </w:r>
    </w:p>
    <w:p w:rsidR="00FB5F40" w:rsidRPr="00026244" w:rsidRDefault="00FB5F40" w:rsidP="00766A11">
      <w:pPr>
        <w:spacing w:after="0"/>
        <w:ind w:firstLine="284"/>
        <w:jc w:val="both"/>
        <w:rPr>
          <w:rFonts w:ascii="Palatino Linotype" w:hAnsi="Palatino Linotype"/>
        </w:rPr>
      </w:pPr>
      <w:r w:rsidRPr="00026244">
        <w:rPr>
          <w:rFonts w:ascii="Palatino Linotype" w:hAnsi="Palatino Linotype"/>
        </w:rPr>
        <w:t xml:space="preserve">В 2011 году  Банк продолжал активно осуществлять межбанковское кредитование. На рынке межбанковских услуг  в 2011 году Банк оставался основным кредитором, размещая межбанковские кредиты на сроки от трех дней до года. Общий объем выданных межбанковских кредитов в 2011 году составил  937,9 </w:t>
      </w:r>
      <w:proofErr w:type="spellStart"/>
      <w:r w:rsidRPr="00026244">
        <w:rPr>
          <w:rFonts w:ascii="Palatino Linotype" w:hAnsi="Palatino Linotype"/>
        </w:rPr>
        <w:t>млн.сомони</w:t>
      </w:r>
      <w:proofErr w:type="spellEnd"/>
      <w:r w:rsidRPr="00026244">
        <w:rPr>
          <w:rFonts w:ascii="Palatino Linotype" w:hAnsi="Palatino Linotype"/>
        </w:rPr>
        <w:t xml:space="preserve">, в то время как этот показатель  в 2009 и 2010 </w:t>
      </w:r>
      <w:proofErr w:type="spellStart"/>
      <w:r w:rsidRPr="00026244">
        <w:rPr>
          <w:rFonts w:ascii="Palatino Linotype" w:hAnsi="Palatino Linotype"/>
        </w:rPr>
        <w:t>г.г</w:t>
      </w:r>
      <w:proofErr w:type="spellEnd"/>
      <w:r w:rsidRPr="00026244">
        <w:rPr>
          <w:rFonts w:ascii="Palatino Linotype" w:hAnsi="Palatino Linotype"/>
        </w:rPr>
        <w:t xml:space="preserve">. составлял соответственно  42,8 </w:t>
      </w:r>
      <w:proofErr w:type="spellStart"/>
      <w:r w:rsidRPr="00026244">
        <w:rPr>
          <w:rFonts w:ascii="Palatino Linotype" w:hAnsi="Palatino Linotype"/>
        </w:rPr>
        <w:t>млн.сомони</w:t>
      </w:r>
      <w:proofErr w:type="spellEnd"/>
      <w:r w:rsidRPr="00026244">
        <w:rPr>
          <w:rFonts w:ascii="Palatino Linotype" w:hAnsi="Palatino Linotype"/>
        </w:rPr>
        <w:t xml:space="preserve"> и 153,1 </w:t>
      </w:r>
      <w:proofErr w:type="spellStart"/>
      <w:r w:rsidRPr="00026244">
        <w:rPr>
          <w:rFonts w:ascii="Palatino Linotype" w:hAnsi="Palatino Linotype"/>
        </w:rPr>
        <w:t>млн.сомони</w:t>
      </w:r>
      <w:proofErr w:type="spellEnd"/>
      <w:r w:rsidRPr="00026244">
        <w:rPr>
          <w:rFonts w:ascii="Palatino Linotype" w:hAnsi="Palatino Linotype"/>
        </w:rPr>
        <w:t xml:space="preserve">. Колебания объемов размещенных межбанковских кредитов связано тем, что банк, проводя взвешенную политику управления ресурсами, рассматривает их как инструмент управления ликвидностью и регулирует объемы в зависимости от потребностей банков республики. </w:t>
      </w: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spacing w:after="0"/>
        <w:ind w:firstLine="567"/>
        <w:jc w:val="both"/>
        <w:rPr>
          <w:rFonts w:ascii="Palatino Linotype" w:hAnsi="Palatino Linotype"/>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EE5262">
      <w:pPr>
        <w:pStyle w:val="af"/>
        <w:rPr>
          <w:rFonts w:ascii="Palatino Linotype" w:hAnsi="Palatino Linotype"/>
          <w:b/>
          <w:sz w:val="22"/>
          <w:szCs w:val="22"/>
        </w:rPr>
      </w:pPr>
    </w:p>
    <w:p w:rsidR="00FB5F40" w:rsidRPr="00026244" w:rsidRDefault="00FB5F40" w:rsidP="00766A11">
      <w:pPr>
        <w:ind w:firstLine="284"/>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t xml:space="preserve">Inter-bank </w:t>
      </w:r>
      <w:proofErr w:type="spellStart"/>
      <w:r w:rsidRPr="00026244">
        <w:rPr>
          <w:rFonts w:ascii="Palatino Linotype" w:hAnsi="Palatino Linotype"/>
          <w:b/>
          <w:color w:val="8064A2"/>
          <w:sz w:val="28"/>
          <w:szCs w:val="28"/>
          <w:lang w:val="en-US"/>
        </w:rPr>
        <w:t>transctions</w:t>
      </w:r>
      <w:proofErr w:type="spellEnd"/>
      <w:r w:rsidRPr="00026244">
        <w:rPr>
          <w:rFonts w:ascii="Palatino Linotype" w:hAnsi="Palatino Linotype"/>
          <w:b/>
          <w:color w:val="8064A2"/>
          <w:sz w:val="28"/>
          <w:szCs w:val="28"/>
          <w:lang w:val="en-US"/>
        </w:rPr>
        <w:t>.</w:t>
      </w:r>
    </w:p>
    <w:p w:rsidR="00FB5F40" w:rsidRPr="00026244" w:rsidRDefault="00FB5F40" w:rsidP="00766A11">
      <w:pPr>
        <w:spacing w:after="0" w:line="324" w:lineRule="auto"/>
        <w:ind w:firstLine="284"/>
        <w:jc w:val="both"/>
        <w:rPr>
          <w:rFonts w:ascii="Palatino Linotype" w:hAnsi="Palatino Linotype"/>
          <w:lang w:val="en-US"/>
        </w:rPr>
      </w:pPr>
      <w:r w:rsidRPr="00026244">
        <w:rPr>
          <w:rFonts w:ascii="Palatino Linotype" w:hAnsi="Palatino Linotype"/>
          <w:lang w:val="en-US"/>
        </w:rPr>
        <w:t xml:space="preserve"> In 2011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continued its activities in inter-bank crediting. In the market of inter-bank services in 2011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remained the main lender by offering inter-bank credits for the terms from 3 days to 1 year. The total volume of inter-bank lending in 2011 amounted to 937,9 million TJS whereas in 2009 and 2010 this indicator was accordingly 42,8 million TJS and 153,1 million TJS. Fluctuation in the volume of given inter-bank credits is related to the weighted policy of managing resources. They are considered as an instrument for managing the liquidity and regulate the volume according to the demand of the Banks of the country.</w:t>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FD2C14">
      <w:pPr>
        <w:ind w:left="-567" w:firstLine="851"/>
        <w:jc w:val="both"/>
        <w:rPr>
          <w:rFonts w:ascii="Palatino Linotype" w:hAnsi="Palatino Linotype"/>
          <w:sz w:val="28"/>
          <w:szCs w:val="28"/>
        </w:rPr>
      </w:pPr>
      <w:r w:rsidRPr="00026244">
        <w:rPr>
          <w:rFonts w:ascii="Palatino Linotype" w:hAnsi="Palatino Linotype"/>
          <w:b/>
          <w:sz w:val="28"/>
          <w:szCs w:val="28"/>
        </w:rPr>
        <w:lastRenderedPageBreak/>
        <w:t>Валютные операции</w:t>
      </w:r>
      <w:r w:rsidRPr="00026244">
        <w:rPr>
          <w:rFonts w:ascii="Palatino Linotype" w:hAnsi="Palatino Linotype"/>
          <w:sz w:val="28"/>
          <w:szCs w:val="28"/>
        </w:rPr>
        <w:t xml:space="preserve">. </w:t>
      </w:r>
    </w:p>
    <w:p w:rsidR="00FB5F40" w:rsidRPr="00026244" w:rsidRDefault="00FB5F40" w:rsidP="00CA692B">
      <w:pPr>
        <w:ind w:left="-567" w:firstLine="425"/>
        <w:jc w:val="both"/>
        <w:rPr>
          <w:rFonts w:ascii="Palatino Linotype" w:hAnsi="Palatino Linotype"/>
        </w:rPr>
      </w:pPr>
      <w:r w:rsidRPr="00026244">
        <w:rPr>
          <w:rFonts w:ascii="Palatino Linotype" w:hAnsi="Palatino Linotype"/>
        </w:rPr>
        <w:t>Помимо вышеперечисленных операций  в 2011 году Банк совершал  конверсионные  операции по всем основным свободно-конвертируемым валютам, с валютами стран СНГ и проводит документарные операции в рамках существующих нормативных актов.</w:t>
      </w:r>
    </w:p>
    <w:p w:rsidR="00FB5F40" w:rsidRPr="00026244" w:rsidRDefault="00FB5F40" w:rsidP="00CA692B">
      <w:pPr>
        <w:ind w:left="-567" w:firstLine="425"/>
        <w:jc w:val="both"/>
        <w:rPr>
          <w:rFonts w:ascii="Palatino Linotype" w:hAnsi="Palatino Linotype"/>
        </w:rPr>
      </w:pPr>
      <w:r w:rsidRPr="00026244">
        <w:rPr>
          <w:rFonts w:ascii="Palatino Linotype" w:hAnsi="Palatino Linotype"/>
        </w:rPr>
        <w:t xml:space="preserve">Чтобы проводить вышеназванные операции на международном уровне и минимизировать валютные риски, был подписан договор о предоставлении сервисов с одним из лидеров сфер  предоставлении информации - Компанией «Томсон </w:t>
      </w:r>
      <w:proofErr w:type="spellStart"/>
      <w:r w:rsidRPr="00026244">
        <w:rPr>
          <w:rFonts w:ascii="Palatino Linotype" w:hAnsi="Palatino Linotype"/>
        </w:rPr>
        <w:t>Рейтерс</w:t>
      </w:r>
      <w:proofErr w:type="spellEnd"/>
      <w:r w:rsidRPr="00026244">
        <w:rPr>
          <w:rFonts w:ascii="Palatino Linotype" w:hAnsi="Palatino Linotype"/>
        </w:rPr>
        <w:t xml:space="preserve">».   </w:t>
      </w:r>
    </w:p>
    <w:p w:rsidR="00FB5F40" w:rsidRPr="00026244" w:rsidRDefault="00FB5F40" w:rsidP="00CA692B">
      <w:pPr>
        <w:ind w:left="-567" w:firstLine="425"/>
        <w:jc w:val="both"/>
        <w:rPr>
          <w:rFonts w:ascii="Palatino Linotype" w:hAnsi="Palatino Linotype"/>
        </w:rPr>
      </w:pPr>
      <w:r w:rsidRPr="00026244">
        <w:rPr>
          <w:rFonts w:ascii="Palatino Linotype" w:hAnsi="Palatino Linotype"/>
        </w:rPr>
        <w:t xml:space="preserve">Общий объем конверсионных операций за 2011 год в переводе на национальную валюту составляет более 58  млрд. </w:t>
      </w:r>
      <w:proofErr w:type="spellStart"/>
      <w:r w:rsidRPr="00026244">
        <w:rPr>
          <w:rFonts w:ascii="Palatino Linotype" w:hAnsi="Palatino Linotype"/>
        </w:rPr>
        <w:t>сомони</w:t>
      </w:r>
      <w:proofErr w:type="spellEnd"/>
      <w:r w:rsidRPr="00026244">
        <w:rPr>
          <w:rFonts w:ascii="Palatino Linotype" w:hAnsi="Palatino Linotype"/>
        </w:rPr>
        <w:t>.</w:t>
      </w:r>
    </w:p>
    <w:p w:rsidR="00FB5F40" w:rsidRPr="00026244" w:rsidRDefault="00FB5F40" w:rsidP="00CA692B">
      <w:pPr>
        <w:ind w:left="-567" w:firstLine="425"/>
        <w:jc w:val="both"/>
        <w:rPr>
          <w:rFonts w:ascii="Palatino Linotype" w:hAnsi="Palatino Linotype"/>
        </w:rPr>
      </w:pPr>
      <w:r w:rsidRPr="00026244">
        <w:rPr>
          <w:rFonts w:ascii="Palatino Linotype" w:hAnsi="Palatino Linotype"/>
        </w:rPr>
        <w:t xml:space="preserve">За отчетный год Банк открыл аккредитивы на сумму более 40 млн. </w:t>
      </w:r>
      <w:proofErr w:type="spellStart"/>
      <w:r w:rsidRPr="00026244">
        <w:rPr>
          <w:rFonts w:ascii="Palatino Linotype" w:hAnsi="Palatino Linotype"/>
        </w:rPr>
        <w:t>сомони</w:t>
      </w:r>
      <w:proofErr w:type="spellEnd"/>
      <w:r w:rsidRPr="00026244">
        <w:rPr>
          <w:rFonts w:ascii="Palatino Linotype" w:hAnsi="Palatino Linotype"/>
        </w:rPr>
        <w:t xml:space="preserve">, основную долю которых составляют правительственные заказы для реализации государственных программ.  </w:t>
      </w:r>
    </w:p>
    <w:p w:rsidR="00FB5F40" w:rsidRPr="00026244" w:rsidRDefault="00FB5F40" w:rsidP="00CA692B">
      <w:pPr>
        <w:ind w:left="-567" w:firstLine="425"/>
        <w:jc w:val="both"/>
        <w:rPr>
          <w:rFonts w:ascii="Palatino Linotype" w:hAnsi="Palatino Linotype"/>
        </w:rPr>
      </w:pPr>
    </w:p>
    <w:p w:rsidR="00FB5F40" w:rsidRPr="00026244" w:rsidRDefault="00FB5F40" w:rsidP="00CA692B">
      <w:pPr>
        <w:ind w:left="-567" w:firstLine="425"/>
        <w:jc w:val="both"/>
        <w:rPr>
          <w:rFonts w:ascii="Palatino Linotype" w:hAnsi="Palatino Linotype"/>
          <w:sz w:val="24"/>
          <w:szCs w:val="24"/>
        </w:rPr>
      </w:pPr>
      <w:r w:rsidRPr="00026244">
        <w:rPr>
          <w:rFonts w:ascii="Palatino Linotype" w:hAnsi="Palatino Linotype"/>
          <w:b/>
          <w:sz w:val="28"/>
          <w:szCs w:val="28"/>
        </w:rPr>
        <w:t>Безналичные расчеты</w:t>
      </w:r>
      <w:r w:rsidRPr="00026244">
        <w:rPr>
          <w:rFonts w:ascii="Palatino Linotype" w:hAnsi="Palatino Linotype"/>
          <w:sz w:val="28"/>
          <w:szCs w:val="28"/>
        </w:rPr>
        <w:t>.</w:t>
      </w:r>
    </w:p>
    <w:p w:rsidR="00FB5F40" w:rsidRPr="00026244" w:rsidRDefault="00FB5F40" w:rsidP="00CA692B">
      <w:pPr>
        <w:ind w:left="-567" w:firstLine="425"/>
        <w:jc w:val="both"/>
        <w:rPr>
          <w:rFonts w:ascii="Palatino Linotype" w:hAnsi="Palatino Linotype"/>
        </w:rPr>
      </w:pPr>
      <w:r w:rsidRPr="00026244">
        <w:rPr>
          <w:rFonts w:ascii="Palatino Linotype" w:hAnsi="Palatino Linotype"/>
        </w:rPr>
        <w:t>Совершенствование и развитие  электронных срочных платежей  позволяет усилить позиции Банка  в  области  межбанковских  расчетов  и  повысить уровень  сервиса,  предоставляемого  банкам-контрагентам и корреспондентам.    Это наглядно видно по росту объемов безналичных расчетов как  внутри страны, так и за её пределами.</w:t>
      </w:r>
    </w:p>
    <w:p w:rsidR="00FB5F40" w:rsidRPr="00026244" w:rsidRDefault="00FB5F40" w:rsidP="004C6488">
      <w:pPr>
        <w:ind w:left="-567" w:firstLine="425"/>
        <w:jc w:val="both"/>
        <w:rPr>
          <w:rFonts w:ascii="Palatino Linotype" w:hAnsi="Palatino Linotype"/>
        </w:rPr>
      </w:pPr>
      <w:r w:rsidRPr="00026244">
        <w:rPr>
          <w:rFonts w:ascii="Palatino Linotype" w:hAnsi="Palatino Linotype"/>
        </w:rPr>
        <w:t xml:space="preserve"> За 2011 год межбанковские расчёты внутри республики возросли в 2,4 раза и        составили 34,6 млрд. </w:t>
      </w:r>
      <w:proofErr w:type="spellStart"/>
      <w:r w:rsidRPr="00026244">
        <w:rPr>
          <w:rFonts w:ascii="Palatino Linotype" w:hAnsi="Palatino Linotype"/>
        </w:rPr>
        <w:t>сомони</w:t>
      </w:r>
      <w:proofErr w:type="spellEnd"/>
      <w:r w:rsidRPr="00026244">
        <w:rPr>
          <w:rFonts w:ascii="Palatino Linotype" w:hAnsi="Palatino Linotype"/>
        </w:rPr>
        <w:t>.</w:t>
      </w:r>
    </w:p>
    <w:p w:rsidR="00FB5F40" w:rsidRPr="00026244" w:rsidRDefault="00FB5F40" w:rsidP="004C6488">
      <w:pPr>
        <w:ind w:left="-567" w:firstLine="425"/>
        <w:jc w:val="both"/>
        <w:rPr>
          <w:rFonts w:ascii="Palatino Linotype" w:hAnsi="Palatino Linotype"/>
        </w:rPr>
      </w:pPr>
    </w:p>
    <w:p w:rsidR="00FB5F40" w:rsidRPr="00026244" w:rsidRDefault="00FB5F40" w:rsidP="00FD2C14">
      <w:pPr>
        <w:ind w:left="-567" w:firstLine="851"/>
        <w:jc w:val="both"/>
        <w:rPr>
          <w:rFonts w:ascii="Palatino Linotype" w:hAnsi="Palatino Linotype"/>
        </w:rPr>
      </w:pPr>
    </w:p>
    <w:p w:rsidR="00FB5F40" w:rsidRPr="00026244" w:rsidRDefault="00FB5F40" w:rsidP="00CA692B">
      <w:pPr>
        <w:ind w:left="-567" w:firstLine="851"/>
        <w:jc w:val="both"/>
        <w:rPr>
          <w:rFonts w:ascii="Palatino Linotype" w:hAnsi="Palatino Linotype"/>
          <w:color w:val="8064A2"/>
          <w:sz w:val="28"/>
          <w:szCs w:val="28"/>
          <w:lang w:val="en-US"/>
        </w:rPr>
      </w:pPr>
      <w:r w:rsidRPr="00026244">
        <w:rPr>
          <w:rFonts w:ascii="Palatino Linotype" w:hAnsi="Palatino Linotype"/>
          <w:b/>
          <w:color w:val="8064A2"/>
          <w:sz w:val="28"/>
          <w:szCs w:val="28"/>
          <w:lang w:val="en-US"/>
        </w:rPr>
        <w:lastRenderedPageBreak/>
        <w:t>Currency transactions</w:t>
      </w:r>
      <w:r w:rsidRPr="00026244">
        <w:rPr>
          <w:rFonts w:ascii="Palatino Linotype" w:hAnsi="Palatino Linotype"/>
          <w:color w:val="8064A2"/>
          <w:sz w:val="28"/>
          <w:szCs w:val="28"/>
          <w:lang w:val="en-US"/>
        </w:rPr>
        <w:t xml:space="preserve">. </w:t>
      </w:r>
    </w:p>
    <w:p w:rsidR="00FB5F40" w:rsidRPr="00026244" w:rsidRDefault="00FB5F40" w:rsidP="00CA692B">
      <w:pPr>
        <w:ind w:firstLine="284"/>
        <w:jc w:val="both"/>
        <w:rPr>
          <w:rFonts w:ascii="Palatino Linotype" w:hAnsi="Palatino Linotype"/>
          <w:lang w:val="en-US"/>
        </w:rPr>
      </w:pPr>
      <w:r w:rsidRPr="00026244">
        <w:rPr>
          <w:rFonts w:ascii="Palatino Linotype" w:hAnsi="Palatino Linotype"/>
          <w:lang w:val="en-US"/>
        </w:rPr>
        <w:t xml:space="preserve">Alongside with the above mentioned transactions in 2011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conducts conversion transactions with all main freely convertible </w:t>
      </w:r>
      <w:proofErr w:type="gramStart"/>
      <w:r w:rsidRPr="00026244">
        <w:rPr>
          <w:rFonts w:ascii="Palatino Linotype" w:hAnsi="Palatino Linotype"/>
          <w:lang w:val="en-US"/>
        </w:rPr>
        <w:t>currencies ,</w:t>
      </w:r>
      <w:proofErr w:type="gramEnd"/>
      <w:r w:rsidRPr="00026244">
        <w:rPr>
          <w:rFonts w:ascii="Palatino Linotype" w:hAnsi="Palatino Linotype"/>
          <w:lang w:val="en-US"/>
        </w:rPr>
        <w:t xml:space="preserve"> currencies of CIS countries and carries out documentary transactions in compliance with existing regulations.</w:t>
      </w:r>
    </w:p>
    <w:p w:rsidR="00FB5F40" w:rsidRPr="00026244" w:rsidRDefault="00FB5F40" w:rsidP="00CA692B">
      <w:pPr>
        <w:ind w:firstLine="284"/>
        <w:jc w:val="both"/>
        <w:rPr>
          <w:rFonts w:ascii="Palatino Linotype" w:hAnsi="Palatino Linotype"/>
          <w:lang w:val="en-US"/>
        </w:rPr>
      </w:pPr>
      <w:r w:rsidRPr="00026244">
        <w:rPr>
          <w:rFonts w:ascii="Palatino Linotype" w:hAnsi="Palatino Linotype"/>
          <w:lang w:val="en-US"/>
        </w:rPr>
        <w:t xml:space="preserve">For conducting </w:t>
      </w:r>
      <w:proofErr w:type="gramStart"/>
      <w:r w:rsidRPr="00026244">
        <w:rPr>
          <w:rFonts w:ascii="Palatino Linotype" w:hAnsi="Palatino Linotype"/>
          <w:lang w:val="en-US"/>
        </w:rPr>
        <w:t>these transaction n International level</w:t>
      </w:r>
      <w:proofErr w:type="gramEnd"/>
      <w:r w:rsidRPr="00026244">
        <w:rPr>
          <w:rFonts w:ascii="Palatino Linotype" w:hAnsi="Palatino Linotype"/>
          <w:lang w:val="en-US"/>
        </w:rPr>
        <w:t xml:space="preserve"> with and minimizing currency risks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signed an Agreement with one of the leading companies in the sphere of information provision “Thomson Reuters”.   </w:t>
      </w:r>
    </w:p>
    <w:p w:rsidR="00FB5F40" w:rsidRPr="00026244" w:rsidRDefault="00FB5F40" w:rsidP="00CA692B">
      <w:pPr>
        <w:ind w:firstLine="284"/>
        <w:jc w:val="both"/>
        <w:rPr>
          <w:rFonts w:ascii="Palatino Linotype" w:hAnsi="Palatino Linotype"/>
          <w:lang w:val="en-US"/>
        </w:rPr>
      </w:pPr>
      <w:r w:rsidRPr="00026244">
        <w:rPr>
          <w:rFonts w:ascii="Palatino Linotype" w:hAnsi="Palatino Linotype"/>
          <w:lang w:val="en-US"/>
        </w:rPr>
        <w:t>Total volume of conversional transaction in 2011 in conversion into national currency amounted to more than 58 billion TJS.</w:t>
      </w:r>
    </w:p>
    <w:p w:rsidR="00FB5F40" w:rsidRPr="00026244" w:rsidRDefault="00FB5F40" w:rsidP="00CA692B">
      <w:pPr>
        <w:ind w:firstLine="284"/>
        <w:jc w:val="both"/>
        <w:rPr>
          <w:rFonts w:ascii="Palatino Linotype" w:hAnsi="Palatino Linotype"/>
          <w:lang w:val="en-US"/>
        </w:rPr>
      </w:pPr>
      <w:r w:rsidRPr="00026244">
        <w:rPr>
          <w:rFonts w:ascii="Palatino Linotype" w:hAnsi="Palatino Linotype"/>
          <w:lang w:val="en-US"/>
        </w:rPr>
        <w:t xml:space="preserve">During the reporting period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opened LC to the total sum of 40 million TJS the main portion of which belongs to the governmental orders for realization of State projects.  </w:t>
      </w:r>
    </w:p>
    <w:p w:rsidR="00FB5F40" w:rsidRPr="00026244" w:rsidRDefault="00FB5F40" w:rsidP="00CA692B">
      <w:pPr>
        <w:ind w:firstLine="284"/>
        <w:jc w:val="both"/>
        <w:rPr>
          <w:rFonts w:ascii="Palatino Linotype" w:hAnsi="Palatino Linotype"/>
          <w:color w:val="8064A2"/>
          <w:sz w:val="28"/>
          <w:szCs w:val="28"/>
          <w:lang w:val="en-US"/>
        </w:rPr>
      </w:pPr>
      <w:r w:rsidRPr="00026244">
        <w:rPr>
          <w:rFonts w:ascii="Palatino Linotype" w:hAnsi="Palatino Linotype"/>
          <w:b/>
          <w:color w:val="8064A2"/>
          <w:sz w:val="28"/>
          <w:szCs w:val="28"/>
          <w:lang w:val="en-US"/>
        </w:rPr>
        <w:t>Cashless settlements</w:t>
      </w:r>
      <w:r w:rsidRPr="00026244">
        <w:rPr>
          <w:rFonts w:ascii="Palatino Linotype" w:hAnsi="Palatino Linotype"/>
          <w:color w:val="8064A2"/>
          <w:sz w:val="28"/>
          <w:szCs w:val="28"/>
          <w:lang w:val="en-US"/>
        </w:rPr>
        <w:t xml:space="preserve">. </w:t>
      </w:r>
    </w:p>
    <w:p w:rsidR="00FB5F40" w:rsidRPr="00026244" w:rsidRDefault="00FB5F40" w:rsidP="00CA692B">
      <w:pPr>
        <w:ind w:firstLine="284"/>
        <w:jc w:val="both"/>
        <w:rPr>
          <w:rFonts w:ascii="Palatino Linotype" w:hAnsi="Palatino Linotype"/>
          <w:lang w:val="en-US"/>
        </w:rPr>
      </w:pPr>
      <w:r w:rsidRPr="00026244">
        <w:rPr>
          <w:rFonts w:ascii="Palatino Linotype" w:hAnsi="Palatino Linotype"/>
          <w:lang w:val="en-US"/>
        </w:rPr>
        <w:t xml:space="preserve">Improvement and development of electronic express payments gives an opportunity to strengthen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nk’s</w:t>
      </w:r>
      <w:proofErr w:type="spellEnd"/>
      <w:r w:rsidRPr="00026244">
        <w:rPr>
          <w:rFonts w:ascii="Palatino Linotype" w:hAnsi="Palatino Linotype"/>
          <w:lang w:val="en-US"/>
        </w:rPr>
        <w:t xml:space="preserve"> position in the area of inter-bank settlements and improve the quality of services rendered to counter-agent banks and correspondent banks. The graphic demonstration of increase in the volume of cashless settlements within the country and abroad is evidencing about it.</w:t>
      </w:r>
    </w:p>
    <w:p w:rsidR="00FB5F40" w:rsidRPr="00026244" w:rsidRDefault="00FB5F40" w:rsidP="00CA692B">
      <w:pPr>
        <w:ind w:firstLine="284"/>
        <w:jc w:val="both"/>
        <w:rPr>
          <w:rFonts w:ascii="Palatino Linotype" w:hAnsi="Palatino Linotype"/>
          <w:lang w:val="en-US"/>
        </w:rPr>
      </w:pPr>
      <w:r w:rsidRPr="00026244">
        <w:rPr>
          <w:rFonts w:ascii="Palatino Linotype" w:hAnsi="Palatino Linotype"/>
          <w:lang w:val="en-US"/>
        </w:rPr>
        <w:t>During 2011 interbank settlements within the country increased in 2</w:t>
      </w:r>
      <w:r w:rsidR="00A03A29" w:rsidRPr="00026244">
        <w:rPr>
          <w:rFonts w:ascii="Palatino Linotype" w:hAnsi="Palatino Linotype"/>
          <w:lang w:val="en-US"/>
        </w:rPr>
        <w:t>,</w:t>
      </w:r>
      <w:r w:rsidRPr="00026244">
        <w:rPr>
          <w:rFonts w:ascii="Palatino Linotype" w:hAnsi="Palatino Linotype"/>
          <w:lang w:val="en-US"/>
        </w:rPr>
        <w:t>4 times and amounted to 34</w:t>
      </w:r>
      <w:r w:rsidR="000E1C83" w:rsidRPr="00026244">
        <w:rPr>
          <w:rFonts w:ascii="Palatino Linotype" w:hAnsi="Palatino Linotype"/>
          <w:lang w:val="en-US"/>
        </w:rPr>
        <w:t>,</w:t>
      </w:r>
      <w:r w:rsidRPr="00026244">
        <w:rPr>
          <w:rFonts w:ascii="Palatino Linotype" w:hAnsi="Palatino Linotype"/>
          <w:lang w:val="en-US"/>
        </w:rPr>
        <w:t xml:space="preserve">6 billion TJS. </w:t>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r w:rsidRPr="00026244">
        <w:rPr>
          <w:noProof/>
          <w:lang w:eastAsia="ru-RU"/>
        </w:rPr>
        <w:lastRenderedPageBreak/>
        <w:drawing>
          <wp:anchor distT="146304" distB="123825" distL="187452" distR="1023747" simplePos="0" relativeHeight="251660800" behindDoc="0" locked="0" layoutInCell="1" allowOverlap="1" wp14:anchorId="4711D538" wp14:editId="122D91C6">
            <wp:simplePos x="0" y="0"/>
            <wp:positionH relativeFrom="column">
              <wp:posOffset>502041</wp:posOffset>
            </wp:positionH>
            <wp:positionV relativeFrom="paragraph">
              <wp:posOffset>185518</wp:posOffset>
            </wp:positionV>
            <wp:extent cx="4967654" cy="2013438"/>
            <wp:effectExtent l="0" t="0" r="4445" b="6350"/>
            <wp:wrapNone/>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766A11" w:rsidRPr="00026244" w:rsidRDefault="00766A11" w:rsidP="00533655">
      <w:pPr>
        <w:spacing w:after="0"/>
        <w:ind w:firstLine="284"/>
        <w:jc w:val="both"/>
        <w:rPr>
          <w:rFonts w:ascii="Palatino Linotype" w:hAnsi="Palatino Linotype"/>
          <w:lang w:val="en-US"/>
        </w:rPr>
      </w:pPr>
    </w:p>
    <w:p w:rsidR="00FB5F40" w:rsidRPr="00026244" w:rsidRDefault="006B0B2F" w:rsidP="00533655">
      <w:pPr>
        <w:spacing w:after="0"/>
        <w:ind w:firstLine="284"/>
        <w:jc w:val="both"/>
        <w:rPr>
          <w:rFonts w:ascii="Palatino Linotype" w:hAnsi="Palatino Linotype"/>
          <w:lang w:val="en-US"/>
        </w:rPr>
      </w:pPr>
      <w:r w:rsidRPr="00026244">
        <w:rPr>
          <w:noProof/>
          <w:lang w:eastAsia="ru-RU"/>
        </w:rPr>
        <w:drawing>
          <wp:anchor distT="152400" distB="115824" distL="181356" distR="1010412" simplePos="0" relativeHeight="251659776" behindDoc="0" locked="0" layoutInCell="1" allowOverlap="1" wp14:anchorId="793E16E4" wp14:editId="5E013159">
            <wp:simplePos x="0" y="0"/>
            <wp:positionH relativeFrom="column">
              <wp:posOffset>501211</wp:posOffset>
            </wp:positionH>
            <wp:positionV relativeFrom="paragraph">
              <wp:posOffset>127635</wp:posOffset>
            </wp:positionV>
            <wp:extent cx="4976446" cy="2118946"/>
            <wp:effectExtent l="0" t="0" r="0" b="0"/>
            <wp:wrapNone/>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995B24" w:rsidRPr="00026244" w:rsidRDefault="00995B24" w:rsidP="00EC59BE">
      <w:pPr>
        <w:pStyle w:val="af"/>
        <w:spacing w:line="276" w:lineRule="auto"/>
        <w:rPr>
          <w:rFonts w:ascii="Palatino Linotype" w:hAnsi="Palatino Linotype"/>
          <w:color w:val="FF0000"/>
          <w:sz w:val="22"/>
          <w:szCs w:val="22"/>
          <w:lang w:val="en-US" w:eastAsia="en-US"/>
        </w:rPr>
      </w:pPr>
    </w:p>
    <w:p w:rsidR="00995B24" w:rsidRPr="00026244" w:rsidRDefault="00995B24" w:rsidP="00EC59BE">
      <w:pPr>
        <w:pStyle w:val="af"/>
        <w:spacing w:line="276" w:lineRule="auto"/>
        <w:rPr>
          <w:rFonts w:ascii="Palatino Linotype" w:hAnsi="Palatino Linotype"/>
          <w:sz w:val="22"/>
          <w:szCs w:val="22"/>
          <w:lang w:val="en-US" w:eastAsia="en-US"/>
        </w:rPr>
      </w:pPr>
    </w:p>
    <w:p w:rsidR="00FB5F40" w:rsidRPr="00026244" w:rsidRDefault="00FB5F40" w:rsidP="00766A11">
      <w:pPr>
        <w:pStyle w:val="af"/>
        <w:spacing w:line="276" w:lineRule="auto"/>
        <w:ind w:firstLine="284"/>
        <w:rPr>
          <w:rFonts w:ascii="Palatino Linotype" w:hAnsi="Palatino Linotype"/>
          <w:sz w:val="22"/>
          <w:szCs w:val="22"/>
          <w:lang w:eastAsia="en-US"/>
        </w:rPr>
      </w:pPr>
      <w:r w:rsidRPr="00026244">
        <w:rPr>
          <w:rFonts w:ascii="Palatino Linotype" w:hAnsi="Palatino Linotype"/>
          <w:sz w:val="22"/>
          <w:szCs w:val="22"/>
          <w:lang w:eastAsia="en-US"/>
        </w:rPr>
        <w:t>ГСБ РТ «</w:t>
      </w:r>
      <w:proofErr w:type="spellStart"/>
      <w:r w:rsidRPr="00026244">
        <w:rPr>
          <w:rFonts w:ascii="Palatino Linotype" w:hAnsi="Palatino Linotype"/>
          <w:sz w:val="22"/>
          <w:szCs w:val="22"/>
          <w:lang w:eastAsia="en-US"/>
        </w:rPr>
        <w:t>Амонатбонк</w:t>
      </w:r>
      <w:proofErr w:type="spellEnd"/>
      <w:r w:rsidRPr="00026244">
        <w:rPr>
          <w:rFonts w:ascii="Palatino Linotype" w:hAnsi="Palatino Linotype"/>
          <w:sz w:val="22"/>
          <w:szCs w:val="22"/>
          <w:lang w:eastAsia="en-US"/>
        </w:rPr>
        <w:t>» установил международные корреспондентские отношения  с 16 зарубежными банками. В том числе в 2011 году подписаны договора  с ЗАО АКБ «</w:t>
      </w:r>
      <w:proofErr w:type="spellStart"/>
      <w:r w:rsidRPr="00026244">
        <w:rPr>
          <w:rFonts w:ascii="Palatino Linotype" w:hAnsi="Palatino Linotype"/>
          <w:sz w:val="22"/>
          <w:szCs w:val="22"/>
          <w:lang w:eastAsia="en-US"/>
        </w:rPr>
        <w:t>Новикомбанк</w:t>
      </w:r>
      <w:proofErr w:type="spellEnd"/>
      <w:r w:rsidRPr="00026244">
        <w:rPr>
          <w:rFonts w:ascii="Palatino Linotype" w:hAnsi="Palatino Linotype"/>
          <w:sz w:val="22"/>
          <w:szCs w:val="22"/>
          <w:lang w:eastAsia="en-US"/>
        </w:rPr>
        <w:t xml:space="preserve">» России и открыты  счета в российских рублях, долларах США и евро. Хотелось бы отметить, что после открытия корсчетов  с </w:t>
      </w:r>
      <w:proofErr w:type="spellStart"/>
      <w:r w:rsidRPr="00026244">
        <w:rPr>
          <w:rFonts w:ascii="Palatino Linotype" w:hAnsi="Palatino Linotype"/>
          <w:sz w:val="22"/>
          <w:szCs w:val="22"/>
          <w:lang w:eastAsia="en-US"/>
        </w:rPr>
        <w:t>Новикомбанком</w:t>
      </w:r>
      <w:proofErr w:type="spellEnd"/>
      <w:r w:rsidRPr="00026244">
        <w:rPr>
          <w:rFonts w:ascii="Palatino Linotype" w:hAnsi="Palatino Linotype"/>
          <w:sz w:val="22"/>
          <w:szCs w:val="22"/>
          <w:lang w:eastAsia="en-US"/>
        </w:rPr>
        <w:t xml:space="preserve"> объём международных расчётов увеличился в разы. Также  в 2011 году </w:t>
      </w:r>
      <w:proofErr w:type="spellStart"/>
      <w:r w:rsidRPr="00026244">
        <w:rPr>
          <w:rFonts w:ascii="Palatino Linotype" w:hAnsi="Palatino Linotype"/>
          <w:sz w:val="22"/>
          <w:szCs w:val="22"/>
          <w:lang w:eastAsia="en-US"/>
        </w:rPr>
        <w:t>Амонатбонк</w:t>
      </w:r>
      <w:proofErr w:type="spellEnd"/>
      <w:r w:rsidRPr="00026244">
        <w:rPr>
          <w:rFonts w:ascii="Palatino Linotype" w:hAnsi="Palatino Linotype"/>
          <w:sz w:val="22"/>
          <w:szCs w:val="22"/>
          <w:lang w:eastAsia="en-US"/>
        </w:rPr>
        <w:t xml:space="preserve"> установил корреспондентские отношения с АКБ ОАО «</w:t>
      </w:r>
      <w:proofErr w:type="spellStart"/>
      <w:r w:rsidRPr="00026244">
        <w:rPr>
          <w:rFonts w:ascii="Palatino Linotype" w:hAnsi="Palatino Linotype"/>
          <w:sz w:val="22"/>
          <w:szCs w:val="22"/>
          <w:lang w:eastAsia="en-US"/>
        </w:rPr>
        <w:t>Интеркоопбанк</w:t>
      </w:r>
      <w:proofErr w:type="spellEnd"/>
      <w:r w:rsidRPr="00026244">
        <w:rPr>
          <w:rFonts w:ascii="Palatino Linotype" w:hAnsi="Palatino Linotype"/>
          <w:sz w:val="22"/>
          <w:szCs w:val="22"/>
          <w:lang w:eastAsia="en-US"/>
        </w:rPr>
        <w:t>» России в национальной валюте (ЛОРО).</w:t>
      </w:r>
    </w:p>
    <w:p w:rsidR="00FB5F40" w:rsidRPr="00026244" w:rsidRDefault="00FB5F40" w:rsidP="00766A11">
      <w:pPr>
        <w:pStyle w:val="af"/>
        <w:spacing w:line="276" w:lineRule="auto"/>
        <w:ind w:firstLine="284"/>
        <w:rPr>
          <w:rFonts w:ascii="Palatino Linotype" w:hAnsi="Palatino Linotype"/>
          <w:sz w:val="22"/>
          <w:szCs w:val="22"/>
          <w:lang w:eastAsia="en-US"/>
        </w:rPr>
      </w:pPr>
      <w:r w:rsidRPr="00026244">
        <w:rPr>
          <w:rFonts w:ascii="Palatino Linotype" w:hAnsi="Palatino Linotype"/>
          <w:sz w:val="22"/>
          <w:szCs w:val="22"/>
          <w:lang w:eastAsia="en-US"/>
        </w:rPr>
        <w:t>Объём международных расчётов в 2011 году по сравнению  с 2010 годом увеличился более чем в 7,5 раз и достиг 12,3 млрд. долларов США. Этот показатель показывает о темпах развития международных банковских отношений.</w:t>
      </w: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766A11" w:rsidRPr="00026244" w:rsidRDefault="00766A11" w:rsidP="00EC59BE">
      <w:pPr>
        <w:pStyle w:val="af"/>
        <w:spacing w:line="276" w:lineRule="auto"/>
        <w:rPr>
          <w:rFonts w:ascii="Palatino Linotype" w:hAnsi="Palatino Linotype"/>
          <w:sz w:val="22"/>
          <w:szCs w:val="22"/>
          <w:lang w:eastAsia="en-US"/>
        </w:rPr>
      </w:pPr>
    </w:p>
    <w:p w:rsidR="00766A11" w:rsidRPr="00026244" w:rsidRDefault="00766A11" w:rsidP="00EC59BE">
      <w:pPr>
        <w:pStyle w:val="af"/>
        <w:spacing w:line="276" w:lineRule="auto"/>
        <w:rPr>
          <w:rFonts w:ascii="Palatino Linotype" w:hAnsi="Palatino Linotype"/>
          <w:sz w:val="22"/>
          <w:szCs w:val="22"/>
          <w:lang w:eastAsia="en-US"/>
        </w:rPr>
      </w:pPr>
    </w:p>
    <w:p w:rsidR="00766A11" w:rsidRPr="00026244" w:rsidRDefault="00766A11" w:rsidP="00EC59BE">
      <w:pPr>
        <w:pStyle w:val="af"/>
        <w:spacing w:line="276" w:lineRule="auto"/>
        <w:rPr>
          <w:rFonts w:ascii="Palatino Linotype" w:hAnsi="Palatino Linotype"/>
          <w:sz w:val="22"/>
          <w:szCs w:val="22"/>
          <w:lang w:eastAsia="en-US"/>
        </w:rPr>
      </w:pPr>
    </w:p>
    <w:p w:rsidR="00766A11" w:rsidRPr="00026244" w:rsidRDefault="00766A11" w:rsidP="00EC59BE">
      <w:pPr>
        <w:pStyle w:val="af"/>
        <w:spacing w:line="276" w:lineRule="auto"/>
        <w:rPr>
          <w:rFonts w:ascii="Palatino Linotype" w:hAnsi="Palatino Linotype"/>
          <w:sz w:val="22"/>
          <w:szCs w:val="22"/>
          <w:lang w:eastAsia="en-US"/>
        </w:rPr>
      </w:pPr>
    </w:p>
    <w:p w:rsidR="00766A11" w:rsidRPr="00026244" w:rsidRDefault="00766A11" w:rsidP="00EC59BE">
      <w:pPr>
        <w:pStyle w:val="af"/>
        <w:spacing w:line="276" w:lineRule="auto"/>
        <w:rPr>
          <w:rFonts w:ascii="Palatino Linotype" w:hAnsi="Palatino Linotype"/>
          <w:sz w:val="22"/>
          <w:szCs w:val="22"/>
          <w:lang w:eastAsia="en-US"/>
        </w:rPr>
      </w:pPr>
    </w:p>
    <w:p w:rsidR="00766A11" w:rsidRPr="00026244" w:rsidRDefault="00766A11" w:rsidP="00EC59BE">
      <w:pPr>
        <w:pStyle w:val="af"/>
        <w:spacing w:line="276" w:lineRule="auto"/>
        <w:rPr>
          <w:rFonts w:ascii="Palatino Linotype" w:hAnsi="Palatino Linotype"/>
          <w:sz w:val="22"/>
          <w:szCs w:val="22"/>
          <w:lang w:eastAsia="en-US"/>
        </w:rPr>
      </w:pPr>
    </w:p>
    <w:p w:rsidR="00766A11" w:rsidRPr="00026244" w:rsidRDefault="00766A11"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FB5F40" w:rsidRPr="00026244" w:rsidRDefault="00FB5F40" w:rsidP="00EC59BE">
      <w:pPr>
        <w:pStyle w:val="af"/>
        <w:spacing w:line="276" w:lineRule="auto"/>
        <w:rPr>
          <w:rFonts w:ascii="Palatino Linotype" w:hAnsi="Palatino Linotype"/>
          <w:sz w:val="22"/>
          <w:szCs w:val="22"/>
          <w:lang w:eastAsia="en-US"/>
        </w:rPr>
      </w:pPr>
    </w:p>
    <w:p w:rsidR="00766A11" w:rsidRPr="00026244" w:rsidRDefault="00FB5F40" w:rsidP="00766A11">
      <w:pPr>
        <w:pStyle w:val="af"/>
        <w:spacing w:line="276" w:lineRule="auto"/>
        <w:ind w:firstLine="284"/>
        <w:rPr>
          <w:rFonts w:ascii="Palatino Linotype" w:hAnsi="Palatino Linotype"/>
          <w:sz w:val="22"/>
          <w:szCs w:val="22"/>
          <w:lang w:val="en-US" w:eastAsia="en-US"/>
        </w:rPr>
      </w:pPr>
      <w:r w:rsidRPr="00026244">
        <w:rPr>
          <w:rFonts w:ascii="Palatino Linotype" w:hAnsi="Palatino Linotype"/>
          <w:sz w:val="22"/>
          <w:szCs w:val="22"/>
          <w:lang w:val="en-US" w:eastAsia="en-US"/>
        </w:rPr>
        <w:t>The</w:t>
      </w:r>
      <w:r w:rsidR="00517F3A" w:rsidRPr="00026244">
        <w:rPr>
          <w:rFonts w:ascii="Palatino Linotype" w:hAnsi="Palatino Linotype"/>
          <w:sz w:val="22"/>
          <w:szCs w:val="22"/>
          <w:lang w:eastAsia="en-US"/>
        </w:rPr>
        <w:t xml:space="preserve"> </w:t>
      </w:r>
      <w:r w:rsidRPr="00026244">
        <w:rPr>
          <w:rFonts w:ascii="Palatino Linotype" w:hAnsi="Palatino Linotype"/>
          <w:sz w:val="22"/>
          <w:szCs w:val="22"/>
          <w:lang w:val="en-US" w:eastAsia="en-US"/>
        </w:rPr>
        <w:t>SSB</w:t>
      </w:r>
      <w:r w:rsidR="00766A11" w:rsidRPr="00026244">
        <w:rPr>
          <w:rFonts w:ascii="Palatino Linotype" w:hAnsi="Palatino Linotype"/>
          <w:sz w:val="22"/>
          <w:szCs w:val="22"/>
          <w:lang w:eastAsia="en-US"/>
        </w:rPr>
        <w:t xml:space="preserve"> </w:t>
      </w:r>
      <w:r w:rsidRPr="00026244">
        <w:rPr>
          <w:rFonts w:ascii="Palatino Linotype" w:hAnsi="Palatino Linotype"/>
          <w:sz w:val="22"/>
          <w:szCs w:val="22"/>
          <w:lang w:val="en-US" w:eastAsia="en-US"/>
        </w:rPr>
        <w:t>RT</w:t>
      </w:r>
      <w:r w:rsidRPr="00026244">
        <w:rPr>
          <w:rFonts w:ascii="Palatino Linotype" w:hAnsi="Palatino Linotype"/>
          <w:sz w:val="22"/>
          <w:szCs w:val="22"/>
          <w:lang w:eastAsia="en-US"/>
        </w:rPr>
        <w:t xml:space="preserve"> “</w:t>
      </w:r>
      <w:proofErr w:type="spellStart"/>
      <w:r w:rsidRPr="00026244">
        <w:rPr>
          <w:rFonts w:ascii="Palatino Linotype" w:hAnsi="Palatino Linotype"/>
          <w:sz w:val="22"/>
          <w:szCs w:val="22"/>
          <w:lang w:val="en-US" w:eastAsia="en-US"/>
        </w:rPr>
        <w:t>Amonatbonk</w:t>
      </w:r>
      <w:proofErr w:type="spellEnd"/>
      <w:r w:rsidRPr="00026244">
        <w:rPr>
          <w:rFonts w:ascii="Palatino Linotype" w:hAnsi="Palatino Linotype"/>
          <w:sz w:val="22"/>
          <w:szCs w:val="22"/>
          <w:lang w:eastAsia="en-US"/>
        </w:rPr>
        <w:t xml:space="preserve">” </w:t>
      </w:r>
      <w:r w:rsidRPr="00026244">
        <w:rPr>
          <w:rFonts w:ascii="Palatino Linotype" w:hAnsi="Palatino Linotype"/>
          <w:sz w:val="22"/>
          <w:szCs w:val="22"/>
          <w:lang w:val="en-US" w:eastAsia="en-US"/>
        </w:rPr>
        <w:t>established</w:t>
      </w:r>
      <w:r w:rsidR="00766A11" w:rsidRPr="00026244">
        <w:rPr>
          <w:rFonts w:ascii="Palatino Linotype" w:hAnsi="Palatino Linotype"/>
          <w:sz w:val="22"/>
          <w:szCs w:val="22"/>
          <w:lang w:eastAsia="en-US"/>
        </w:rPr>
        <w:t xml:space="preserve"> </w:t>
      </w:r>
      <w:proofErr w:type="spellStart"/>
      <w:r w:rsidRPr="00026244">
        <w:rPr>
          <w:rFonts w:ascii="Palatino Linotype" w:hAnsi="Palatino Linotype"/>
          <w:sz w:val="22"/>
          <w:szCs w:val="22"/>
          <w:lang w:val="en-US" w:eastAsia="en-US"/>
        </w:rPr>
        <w:t>correspondentre</w:t>
      </w:r>
      <w:proofErr w:type="spellEnd"/>
      <w:r w:rsidR="00766A11" w:rsidRPr="00026244">
        <w:rPr>
          <w:rFonts w:ascii="Palatino Linotype" w:hAnsi="Palatino Linotype"/>
          <w:sz w:val="22"/>
          <w:szCs w:val="22"/>
          <w:lang w:eastAsia="en-US"/>
        </w:rPr>
        <w:t xml:space="preserve"> </w:t>
      </w:r>
      <w:proofErr w:type="spellStart"/>
      <w:r w:rsidRPr="00026244">
        <w:rPr>
          <w:rFonts w:ascii="Palatino Linotype" w:hAnsi="Palatino Linotype"/>
          <w:sz w:val="22"/>
          <w:szCs w:val="22"/>
          <w:lang w:val="en-US" w:eastAsia="en-US"/>
        </w:rPr>
        <w:t>lation</w:t>
      </w:r>
      <w:proofErr w:type="spellEnd"/>
      <w:r w:rsidR="00766A11" w:rsidRPr="00026244">
        <w:rPr>
          <w:rFonts w:ascii="Palatino Linotype" w:hAnsi="Palatino Linotype"/>
          <w:sz w:val="22"/>
          <w:szCs w:val="22"/>
          <w:lang w:eastAsia="en-US"/>
        </w:rPr>
        <w:t xml:space="preserve"> </w:t>
      </w:r>
      <w:proofErr w:type="spellStart"/>
      <w:r w:rsidRPr="00026244">
        <w:rPr>
          <w:rFonts w:ascii="Palatino Linotype" w:hAnsi="Palatino Linotype"/>
          <w:sz w:val="22"/>
          <w:szCs w:val="22"/>
          <w:lang w:val="en-US" w:eastAsia="en-US"/>
        </w:rPr>
        <w:t>swith</w:t>
      </w:r>
      <w:proofErr w:type="spellEnd"/>
      <w:r w:rsidRPr="00026244">
        <w:rPr>
          <w:rFonts w:ascii="Palatino Linotype" w:hAnsi="Palatino Linotype"/>
          <w:sz w:val="22"/>
          <w:szCs w:val="22"/>
          <w:lang w:eastAsia="en-US"/>
        </w:rPr>
        <w:t xml:space="preserve"> 16 </w:t>
      </w:r>
      <w:proofErr w:type="spellStart"/>
      <w:r w:rsidRPr="00026244">
        <w:rPr>
          <w:rFonts w:ascii="Palatino Linotype" w:hAnsi="Palatino Linotype"/>
          <w:sz w:val="22"/>
          <w:szCs w:val="22"/>
          <w:lang w:val="en-US" w:eastAsia="en-US"/>
        </w:rPr>
        <w:t>foreignbanks</w:t>
      </w:r>
      <w:proofErr w:type="spellEnd"/>
      <w:r w:rsidRPr="00026244">
        <w:rPr>
          <w:rFonts w:ascii="Palatino Linotype" w:hAnsi="Palatino Linotype"/>
          <w:sz w:val="22"/>
          <w:szCs w:val="22"/>
          <w:lang w:eastAsia="en-US"/>
        </w:rPr>
        <w:t xml:space="preserve">. </w:t>
      </w:r>
      <w:r w:rsidRPr="00026244">
        <w:rPr>
          <w:rFonts w:ascii="Palatino Linotype" w:hAnsi="Palatino Linotype"/>
          <w:sz w:val="22"/>
          <w:szCs w:val="22"/>
          <w:lang w:val="en-US" w:eastAsia="en-US"/>
        </w:rPr>
        <w:t xml:space="preserve">In 2011 for example there were signed agreements with </w:t>
      </w:r>
      <w:proofErr w:type="spellStart"/>
      <w:r w:rsidRPr="00026244">
        <w:rPr>
          <w:rFonts w:ascii="Palatino Linotype" w:hAnsi="Palatino Linotype"/>
          <w:sz w:val="22"/>
          <w:szCs w:val="22"/>
          <w:lang w:val="en-US" w:eastAsia="en-US"/>
        </w:rPr>
        <w:t>Novikombank</w:t>
      </w:r>
      <w:proofErr w:type="spellEnd"/>
      <w:r w:rsidRPr="00026244">
        <w:rPr>
          <w:rFonts w:ascii="Palatino Linotype" w:hAnsi="Palatino Linotype"/>
          <w:sz w:val="22"/>
          <w:szCs w:val="22"/>
          <w:lang w:val="en-US" w:eastAsia="en-US"/>
        </w:rPr>
        <w:t xml:space="preserve"> of Russia and accounts in Russian rubles, USD and Euro were opened. Here we should mention that as a result of opening correspondent accounts with </w:t>
      </w:r>
      <w:proofErr w:type="spellStart"/>
      <w:r w:rsidRPr="00026244">
        <w:rPr>
          <w:rFonts w:ascii="Palatino Linotype" w:hAnsi="Palatino Linotype"/>
          <w:sz w:val="22"/>
          <w:szCs w:val="22"/>
          <w:lang w:val="en-US" w:eastAsia="en-US"/>
        </w:rPr>
        <w:t>Novikombank</w:t>
      </w:r>
      <w:proofErr w:type="spellEnd"/>
      <w:r w:rsidRPr="00026244">
        <w:rPr>
          <w:rFonts w:ascii="Palatino Linotype" w:hAnsi="Palatino Linotype"/>
          <w:sz w:val="22"/>
          <w:szCs w:val="22"/>
          <w:lang w:val="en-US" w:eastAsia="en-US"/>
        </w:rPr>
        <w:t xml:space="preserve"> the volume of international settlements significantly increased.    Also in 2011 </w:t>
      </w:r>
      <w:proofErr w:type="spellStart"/>
      <w:r w:rsidRPr="00026244">
        <w:rPr>
          <w:rFonts w:ascii="Palatino Linotype" w:hAnsi="Palatino Linotype"/>
          <w:sz w:val="22"/>
          <w:szCs w:val="22"/>
          <w:lang w:val="en-US" w:eastAsia="en-US"/>
        </w:rPr>
        <w:t>Amonatb</w:t>
      </w:r>
      <w:r w:rsidR="009C484E" w:rsidRPr="00026244">
        <w:rPr>
          <w:rFonts w:ascii="Palatino Linotype" w:hAnsi="Palatino Linotype"/>
          <w:sz w:val="22"/>
          <w:szCs w:val="22"/>
          <w:lang w:val="en-US" w:eastAsia="en-US"/>
        </w:rPr>
        <w:t>a</w:t>
      </w:r>
      <w:r w:rsidRPr="00026244">
        <w:rPr>
          <w:rFonts w:ascii="Palatino Linotype" w:hAnsi="Palatino Linotype"/>
          <w:sz w:val="22"/>
          <w:szCs w:val="22"/>
          <w:lang w:val="en-US" w:eastAsia="en-US"/>
        </w:rPr>
        <w:t>nk</w:t>
      </w:r>
      <w:proofErr w:type="spellEnd"/>
      <w:r w:rsidRPr="00026244">
        <w:rPr>
          <w:rFonts w:ascii="Palatino Linotype" w:hAnsi="Palatino Linotype"/>
          <w:sz w:val="22"/>
          <w:szCs w:val="22"/>
          <w:lang w:val="en-US" w:eastAsia="en-US"/>
        </w:rPr>
        <w:t xml:space="preserve"> established correspondent relations with </w:t>
      </w:r>
      <w:proofErr w:type="spellStart"/>
      <w:r w:rsidRPr="00026244">
        <w:rPr>
          <w:rFonts w:ascii="Palatino Linotype" w:hAnsi="Palatino Linotype"/>
          <w:sz w:val="22"/>
          <w:szCs w:val="22"/>
          <w:lang w:val="en-US" w:eastAsia="en-US"/>
        </w:rPr>
        <w:t>IntercoopB</w:t>
      </w:r>
      <w:r w:rsidR="00346354" w:rsidRPr="00026244">
        <w:rPr>
          <w:rFonts w:ascii="Palatino Linotype" w:hAnsi="Palatino Linotype"/>
          <w:sz w:val="22"/>
          <w:szCs w:val="22"/>
          <w:lang w:val="en-US" w:eastAsia="en-US"/>
        </w:rPr>
        <w:t>a</w:t>
      </w:r>
      <w:r w:rsidRPr="00026244">
        <w:rPr>
          <w:rFonts w:ascii="Palatino Linotype" w:hAnsi="Palatino Linotype"/>
          <w:sz w:val="22"/>
          <w:szCs w:val="22"/>
          <w:lang w:val="en-US" w:eastAsia="en-US"/>
        </w:rPr>
        <w:t>nk</w:t>
      </w:r>
      <w:proofErr w:type="spellEnd"/>
      <w:r w:rsidRPr="00026244">
        <w:rPr>
          <w:rFonts w:ascii="Palatino Linotype" w:hAnsi="Palatino Linotype"/>
          <w:sz w:val="22"/>
          <w:szCs w:val="22"/>
          <w:lang w:val="en-US" w:eastAsia="en-US"/>
        </w:rPr>
        <w:t xml:space="preserve"> of Russia and opened LORO account in national currency.</w:t>
      </w:r>
    </w:p>
    <w:p w:rsidR="00FB5F40" w:rsidRPr="00026244" w:rsidRDefault="00FB5F40" w:rsidP="00766A11">
      <w:pPr>
        <w:pStyle w:val="af"/>
        <w:spacing w:line="276" w:lineRule="auto"/>
        <w:ind w:firstLine="284"/>
        <w:rPr>
          <w:rFonts w:ascii="Palatino Linotype" w:hAnsi="Palatino Linotype"/>
          <w:sz w:val="22"/>
          <w:szCs w:val="22"/>
          <w:lang w:val="en-US" w:eastAsia="en-US"/>
        </w:rPr>
      </w:pPr>
      <w:r w:rsidRPr="00026244">
        <w:rPr>
          <w:rFonts w:ascii="Palatino Linotype" w:hAnsi="Palatino Linotype"/>
          <w:sz w:val="22"/>
          <w:szCs w:val="22"/>
          <w:lang w:val="en-US" w:eastAsia="en-US"/>
        </w:rPr>
        <w:t>The volume of international settlements in 2011 in comparison with 2010 increased in more than 7</w:t>
      </w:r>
      <w:proofErr w:type="gramStart"/>
      <w:r w:rsidR="00D91377" w:rsidRPr="00026244">
        <w:rPr>
          <w:rFonts w:ascii="Palatino Linotype" w:hAnsi="Palatino Linotype"/>
          <w:sz w:val="22"/>
          <w:szCs w:val="22"/>
          <w:lang w:val="en-US" w:eastAsia="en-US"/>
        </w:rPr>
        <w:t>,</w:t>
      </w:r>
      <w:r w:rsidRPr="00026244">
        <w:rPr>
          <w:rFonts w:ascii="Palatino Linotype" w:hAnsi="Palatino Linotype"/>
          <w:sz w:val="22"/>
          <w:szCs w:val="22"/>
          <w:lang w:val="en-US" w:eastAsia="en-US"/>
        </w:rPr>
        <w:t>5</w:t>
      </w:r>
      <w:proofErr w:type="gramEnd"/>
      <w:r w:rsidRPr="00026244">
        <w:rPr>
          <w:rFonts w:ascii="Palatino Linotype" w:hAnsi="Palatino Linotype"/>
          <w:sz w:val="22"/>
          <w:szCs w:val="22"/>
          <w:lang w:val="en-US" w:eastAsia="en-US"/>
        </w:rPr>
        <w:t xml:space="preserve"> times and amounted to 12</w:t>
      </w:r>
      <w:r w:rsidR="00D91377" w:rsidRPr="00026244">
        <w:rPr>
          <w:rFonts w:ascii="Palatino Linotype" w:hAnsi="Palatino Linotype"/>
          <w:sz w:val="22"/>
          <w:szCs w:val="22"/>
          <w:lang w:val="en-US" w:eastAsia="en-US"/>
        </w:rPr>
        <w:t>,</w:t>
      </w:r>
      <w:r w:rsidRPr="00026244">
        <w:rPr>
          <w:rFonts w:ascii="Palatino Linotype" w:hAnsi="Palatino Linotype"/>
          <w:sz w:val="22"/>
          <w:szCs w:val="22"/>
          <w:lang w:val="en-US" w:eastAsia="en-US"/>
        </w:rPr>
        <w:t xml:space="preserve">3 billion USD. This indicator shows the rate of growth in development of International banking relations. </w:t>
      </w:r>
    </w:p>
    <w:p w:rsidR="00FB5F40" w:rsidRPr="00026244" w:rsidRDefault="00FB5F40" w:rsidP="00533655">
      <w:pPr>
        <w:spacing w:after="0"/>
        <w:ind w:firstLine="284"/>
        <w:jc w:val="both"/>
        <w:rPr>
          <w:rFonts w:ascii="Palatino Linotype" w:hAnsi="Palatino Linotype"/>
          <w:lang w:val="en-US"/>
        </w:rPr>
      </w:pPr>
    </w:p>
    <w:p w:rsidR="000100E0" w:rsidRPr="00026244" w:rsidRDefault="000100E0" w:rsidP="00533655">
      <w:pPr>
        <w:spacing w:after="0"/>
        <w:ind w:firstLine="284"/>
        <w:jc w:val="both"/>
        <w:rPr>
          <w:rFonts w:ascii="Palatino Linotype" w:hAnsi="Palatino Linotype"/>
          <w:color w:val="FF0000"/>
          <w:sz w:val="12"/>
          <w:szCs w:val="12"/>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995B24" w:rsidRPr="00026244" w:rsidRDefault="00995B24" w:rsidP="00EC59BE">
      <w:pPr>
        <w:pStyle w:val="a3"/>
        <w:spacing w:after="0"/>
        <w:ind w:left="0"/>
        <w:rPr>
          <w:rFonts w:ascii="Palatino Linotype" w:hAnsi="Palatino Linotype"/>
          <w:b/>
          <w:color w:val="003300"/>
          <w:sz w:val="28"/>
          <w:szCs w:val="28"/>
          <w:lang w:val="en-US"/>
        </w:rPr>
      </w:pPr>
    </w:p>
    <w:p w:rsidR="00766A11" w:rsidRPr="00026244" w:rsidRDefault="00766A11" w:rsidP="00EC59BE">
      <w:pPr>
        <w:pStyle w:val="a3"/>
        <w:spacing w:after="0"/>
        <w:ind w:left="0"/>
        <w:rPr>
          <w:rFonts w:ascii="Palatino Linotype" w:hAnsi="Palatino Linotype"/>
          <w:b/>
          <w:color w:val="003300"/>
          <w:sz w:val="28"/>
          <w:szCs w:val="28"/>
          <w:lang w:val="en-US"/>
        </w:rPr>
      </w:pPr>
      <w:r w:rsidRPr="00026244">
        <w:rPr>
          <w:noProof/>
          <w:lang w:eastAsia="ru-RU"/>
        </w:rPr>
        <w:lastRenderedPageBreak/>
        <w:drawing>
          <wp:anchor distT="0" distB="4572" distL="114300" distR="115443" simplePos="0" relativeHeight="251661824" behindDoc="0" locked="0" layoutInCell="1" allowOverlap="1" wp14:anchorId="6ECEFB38" wp14:editId="15889606">
            <wp:simplePos x="0" y="0"/>
            <wp:positionH relativeFrom="column">
              <wp:posOffset>-34290</wp:posOffset>
            </wp:positionH>
            <wp:positionV relativeFrom="paragraph">
              <wp:posOffset>-447528</wp:posOffset>
            </wp:positionV>
            <wp:extent cx="6321669" cy="3385038"/>
            <wp:effectExtent l="0" t="0" r="3175" b="6350"/>
            <wp:wrapNone/>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766A11" w:rsidRPr="00026244" w:rsidRDefault="00766A11" w:rsidP="00EC59BE">
      <w:pPr>
        <w:pStyle w:val="a3"/>
        <w:spacing w:after="0"/>
        <w:ind w:left="0"/>
        <w:rPr>
          <w:rFonts w:ascii="Palatino Linotype" w:hAnsi="Palatino Linotype"/>
          <w:b/>
          <w:color w:val="003300"/>
          <w:sz w:val="28"/>
          <w:szCs w:val="28"/>
          <w:lang w:val="en-US"/>
        </w:rPr>
      </w:pPr>
    </w:p>
    <w:p w:rsidR="00766A11" w:rsidRPr="00026244" w:rsidRDefault="00766A11" w:rsidP="00EC59BE">
      <w:pPr>
        <w:pStyle w:val="a3"/>
        <w:spacing w:after="0"/>
        <w:ind w:left="0"/>
        <w:rPr>
          <w:rFonts w:ascii="Palatino Linotype" w:hAnsi="Palatino Linotype"/>
          <w:b/>
          <w:color w:val="003300"/>
          <w:sz w:val="28"/>
          <w:szCs w:val="28"/>
          <w:lang w:val="en-US"/>
        </w:rPr>
      </w:pPr>
    </w:p>
    <w:p w:rsidR="00766A11" w:rsidRPr="00026244" w:rsidRDefault="00766A11" w:rsidP="00EC59BE">
      <w:pPr>
        <w:pStyle w:val="a3"/>
        <w:spacing w:after="0"/>
        <w:ind w:left="0"/>
        <w:rPr>
          <w:rFonts w:ascii="Palatino Linotype" w:hAnsi="Palatino Linotype"/>
          <w:b/>
          <w:color w:val="003300"/>
          <w:sz w:val="28"/>
          <w:szCs w:val="28"/>
          <w:lang w:val="en-US"/>
        </w:rPr>
      </w:pPr>
    </w:p>
    <w:p w:rsidR="00995B24" w:rsidRPr="00026244" w:rsidRDefault="00995B24" w:rsidP="00EC59BE">
      <w:pPr>
        <w:pStyle w:val="a3"/>
        <w:spacing w:after="0"/>
        <w:ind w:left="0"/>
        <w:rPr>
          <w:rFonts w:ascii="Palatino Linotype" w:hAnsi="Palatino Linotype"/>
          <w:b/>
          <w:color w:val="003300"/>
          <w:sz w:val="28"/>
          <w:szCs w:val="28"/>
          <w:lang w:val="en-US"/>
        </w:rPr>
      </w:pPr>
    </w:p>
    <w:p w:rsidR="00995B24" w:rsidRPr="00026244" w:rsidRDefault="00995B24" w:rsidP="00EC59BE">
      <w:pPr>
        <w:pStyle w:val="a3"/>
        <w:spacing w:after="0"/>
        <w:ind w:left="0"/>
        <w:rPr>
          <w:rFonts w:ascii="Palatino Linotype" w:hAnsi="Palatino Linotype"/>
          <w:b/>
          <w:color w:val="003300"/>
          <w:sz w:val="28"/>
          <w:szCs w:val="28"/>
          <w:lang w:val="en-US"/>
        </w:rPr>
      </w:pPr>
    </w:p>
    <w:p w:rsidR="00766A11" w:rsidRPr="00026244" w:rsidRDefault="00766A11" w:rsidP="00EC59BE">
      <w:pPr>
        <w:pStyle w:val="a3"/>
        <w:spacing w:after="0"/>
        <w:ind w:left="0"/>
        <w:rPr>
          <w:rFonts w:ascii="Palatino Linotype" w:hAnsi="Palatino Linotype"/>
          <w:b/>
          <w:color w:val="003300"/>
          <w:sz w:val="28"/>
          <w:szCs w:val="28"/>
          <w:lang w:val="en-US"/>
        </w:rPr>
      </w:pPr>
    </w:p>
    <w:p w:rsidR="00995B24" w:rsidRPr="00026244" w:rsidRDefault="00995B24" w:rsidP="00EC59BE">
      <w:pPr>
        <w:pStyle w:val="a3"/>
        <w:spacing w:after="0"/>
        <w:ind w:left="0"/>
        <w:rPr>
          <w:rFonts w:ascii="Palatino Linotype" w:hAnsi="Palatino Linotype"/>
          <w:b/>
          <w:color w:val="003300"/>
          <w:sz w:val="28"/>
          <w:szCs w:val="28"/>
          <w:lang w:val="en-US"/>
        </w:rPr>
      </w:pPr>
    </w:p>
    <w:p w:rsidR="00995B24" w:rsidRPr="00026244" w:rsidRDefault="00995B24" w:rsidP="00EC59BE">
      <w:pPr>
        <w:pStyle w:val="a3"/>
        <w:spacing w:after="0"/>
        <w:ind w:left="0"/>
        <w:rPr>
          <w:rFonts w:ascii="Palatino Linotype" w:hAnsi="Palatino Linotype"/>
          <w:b/>
          <w:color w:val="003300"/>
          <w:sz w:val="28"/>
          <w:szCs w:val="28"/>
          <w:lang w:val="en-US"/>
        </w:rPr>
      </w:pPr>
    </w:p>
    <w:p w:rsidR="00766A11" w:rsidRPr="00026244" w:rsidRDefault="00766A11" w:rsidP="00EC59BE">
      <w:pPr>
        <w:pStyle w:val="a3"/>
        <w:spacing w:after="0"/>
        <w:ind w:left="0"/>
        <w:rPr>
          <w:rFonts w:ascii="Palatino Linotype" w:hAnsi="Palatino Linotype"/>
          <w:b/>
          <w:color w:val="003300"/>
          <w:sz w:val="28"/>
          <w:szCs w:val="28"/>
          <w:lang w:val="en-US"/>
        </w:rPr>
      </w:pPr>
    </w:p>
    <w:p w:rsidR="00766A11" w:rsidRPr="00026244" w:rsidRDefault="00766A11" w:rsidP="00EC59BE">
      <w:pPr>
        <w:pStyle w:val="a3"/>
        <w:spacing w:after="0"/>
        <w:ind w:left="0"/>
        <w:rPr>
          <w:rFonts w:ascii="Palatino Linotype" w:hAnsi="Palatino Linotype"/>
          <w:b/>
          <w:color w:val="003300"/>
          <w:sz w:val="28"/>
          <w:szCs w:val="28"/>
          <w:lang w:val="en-US"/>
        </w:rPr>
      </w:pPr>
    </w:p>
    <w:p w:rsidR="00995B24" w:rsidRPr="00026244" w:rsidRDefault="00995B24" w:rsidP="00EC59BE">
      <w:pPr>
        <w:pStyle w:val="a3"/>
        <w:spacing w:after="0"/>
        <w:ind w:left="0"/>
        <w:rPr>
          <w:rFonts w:ascii="Palatino Linotype" w:hAnsi="Palatino Linotype"/>
          <w:b/>
          <w:color w:val="003300"/>
          <w:sz w:val="28"/>
          <w:szCs w:val="28"/>
          <w:lang w:val="en-US"/>
        </w:rPr>
      </w:pPr>
    </w:p>
    <w:p w:rsidR="00766A11" w:rsidRPr="00026244" w:rsidRDefault="00766A11" w:rsidP="00C91C01">
      <w:pPr>
        <w:pStyle w:val="a3"/>
        <w:spacing w:after="0"/>
        <w:ind w:left="0"/>
        <w:rPr>
          <w:rFonts w:ascii="Palatino Linotype" w:hAnsi="Palatino Linotype"/>
          <w:b/>
          <w:color w:val="003300"/>
          <w:sz w:val="28"/>
          <w:szCs w:val="28"/>
          <w:lang w:val="en-US"/>
        </w:rPr>
        <w:sectPr w:rsidR="00766A11" w:rsidRPr="00026244" w:rsidSect="00EF010A">
          <w:type w:val="continuous"/>
          <w:pgSz w:w="11906" w:h="16838"/>
          <w:pgMar w:top="1134" w:right="850" w:bottom="1134" w:left="1134" w:header="708" w:footer="708" w:gutter="0"/>
          <w:cols w:num="2" w:space="566"/>
          <w:docGrid w:linePitch="360"/>
        </w:sectPr>
      </w:pPr>
    </w:p>
    <w:p w:rsidR="00766A11" w:rsidRPr="00026244" w:rsidRDefault="00766A11" w:rsidP="00C91C01">
      <w:pPr>
        <w:pStyle w:val="a3"/>
        <w:spacing w:after="0"/>
        <w:ind w:left="0"/>
        <w:rPr>
          <w:rFonts w:ascii="Palatino Linotype" w:hAnsi="Palatino Linotype"/>
          <w:b/>
          <w:color w:val="003300"/>
          <w:sz w:val="28"/>
          <w:szCs w:val="28"/>
          <w:lang w:val="en-US"/>
        </w:rPr>
      </w:pPr>
    </w:p>
    <w:p w:rsidR="00766A11" w:rsidRPr="00026244" w:rsidRDefault="00766A11" w:rsidP="00C91C01">
      <w:pPr>
        <w:pStyle w:val="a3"/>
        <w:spacing w:after="0"/>
        <w:ind w:left="0"/>
        <w:rPr>
          <w:rFonts w:ascii="Palatino Linotype" w:hAnsi="Palatino Linotype"/>
          <w:b/>
          <w:color w:val="003300"/>
          <w:sz w:val="28"/>
          <w:szCs w:val="28"/>
          <w:lang w:val="en-US"/>
        </w:rPr>
      </w:pPr>
    </w:p>
    <w:p w:rsidR="00766A11" w:rsidRPr="00026244" w:rsidRDefault="00766A11" w:rsidP="00C91C01">
      <w:pPr>
        <w:pStyle w:val="a3"/>
        <w:spacing w:after="0"/>
        <w:ind w:left="0"/>
        <w:rPr>
          <w:rFonts w:ascii="Palatino Linotype" w:hAnsi="Palatino Linotype"/>
          <w:b/>
          <w:color w:val="003300"/>
          <w:sz w:val="28"/>
          <w:szCs w:val="28"/>
          <w:lang w:val="en-US"/>
        </w:rPr>
      </w:pPr>
    </w:p>
    <w:p w:rsidR="00766A11" w:rsidRPr="00026244" w:rsidRDefault="00766A11" w:rsidP="00C91C01">
      <w:pPr>
        <w:pStyle w:val="a3"/>
        <w:spacing w:after="0"/>
        <w:ind w:left="0"/>
        <w:rPr>
          <w:rFonts w:ascii="Palatino Linotype" w:hAnsi="Palatino Linotype"/>
          <w:b/>
          <w:color w:val="003300"/>
          <w:sz w:val="28"/>
          <w:szCs w:val="28"/>
          <w:lang w:val="en-US"/>
        </w:rPr>
      </w:pPr>
    </w:p>
    <w:p w:rsidR="00766A11" w:rsidRPr="00026244" w:rsidRDefault="00766A11" w:rsidP="00C91C01">
      <w:pPr>
        <w:pStyle w:val="a3"/>
        <w:spacing w:after="0"/>
        <w:ind w:left="0"/>
        <w:rPr>
          <w:rFonts w:ascii="Palatino Linotype" w:hAnsi="Palatino Linotype"/>
          <w:b/>
          <w:color w:val="003300"/>
          <w:sz w:val="28"/>
          <w:szCs w:val="28"/>
          <w:lang w:val="en-US"/>
        </w:rPr>
      </w:pPr>
    </w:p>
    <w:p w:rsidR="00FB5F40" w:rsidRPr="00026244" w:rsidRDefault="00FB5F40" w:rsidP="00C91C01">
      <w:pPr>
        <w:pStyle w:val="a3"/>
        <w:spacing w:after="0"/>
        <w:ind w:left="0"/>
        <w:rPr>
          <w:rFonts w:ascii="Palatino Linotype" w:hAnsi="Palatino Linotype"/>
          <w:b/>
          <w:color w:val="003300"/>
          <w:sz w:val="28"/>
          <w:szCs w:val="28"/>
          <w:lang w:val="en-US"/>
        </w:rPr>
      </w:pPr>
      <w:r w:rsidRPr="00026244">
        <w:rPr>
          <w:rFonts w:ascii="Palatino Linotype" w:hAnsi="Palatino Linotype"/>
          <w:b/>
          <w:color w:val="003300"/>
          <w:sz w:val="28"/>
          <w:szCs w:val="28"/>
        </w:rPr>
        <w:t>КРЕДИТНАЯ</w:t>
      </w:r>
      <w:r w:rsidRPr="00026244">
        <w:rPr>
          <w:rFonts w:ascii="Palatino Linotype" w:hAnsi="Palatino Linotype"/>
          <w:b/>
          <w:color w:val="003300"/>
          <w:sz w:val="28"/>
          <w:szCs w:val="28"/>
          <w:lang w:val="en-US"/>
        </w:rPr>
        <w:t xml:space="preserve"> </w:t>
      </w:r>
      <w:r w:rsidRPr="00026244">
        <w:rPr>
          <w:rFonts w:ascii="Palatino Linotype" w:hAnsi="Palatino Linotype"/>
          <w:b/>
          <w:color w:val="003300"/>
          <w:sz w:val="28"/>
          <w:szCs w:val="28"/>
        </w:rPr>
        <w:t>ПОЛИТИКА</w:t>
      </w:r>
      <w:r w:rsidRPr="00026244">
        <w:rPr>
          <w:rFonts w:ascii="Palatino Linotype" w:hAnsi="Palatino Linotype"/>
          <w:b/>
          <w:color w:val="003300"/>
          <w:sz w:val="28"/>
          <w:szCs w:val="28"/>
          <w:lang w:val="en-US"/>
        </w:rPr>
        <w:t xml:space="preserve"> </w:t>
      </w:r>
      <w:r w:rsidRPr="00026244">
        <w:rPr>
          <w:rFonts w:ascii="Palatino Linotype" w:hAnsi="Palatino Linotype"/>
          <w:b/>
          <w:color w:val="003300"/>
          <w:sz w:val="28"/>
          <w:szCs w:val="28"/>
        </w:rPr>
        <w:t>БАНКА</w:t>
      </w:r>
    </w:p>
    <w:p w:rsidR="00766A11" w:rsidRPr="00026244" w:rsidRDefault="00766A11" w:rsidP="00766A11">
      <w:pPr>
        <w:pStyle w:val="a3"/>
        <w:spacing w:after="0"/>
        <w:ind w:left="0"/>
        <w:jc w:val="both"/>
        <w:rPr>
          <w:rFonts w:ascii="Palatino Linotype" w:hAnsi="Palatino Linotype"/>
          <w:b/>
          <w:color w:val="8064A2"/>
          <w:sz w:val="28"/>
          <w:szCs w:val="28"/>
          <w:lang w:val="en-US"/>
        </w:rPr>
      </w:pPr>
      <w:r w:rsidRPr="00026244">
        <w:rPr>
          <w:rFonts w:ascii="Palatino Linotype" w:hAnsi="Palatino Linotype"/>
          <w:b/>
          <w:color w:val="8064A2"/>
          <w:sz w:val="28"/>
          <w:szCs w:val="28"/>
          <w:lang w:val="en-US"/>
        </w:rPr>
        <w:t>CREDIT POLICY OF THE BANK</w:t>
      </w:r>
    </w:p>
    <w:p w:rsidR="00766A11" w:rsidRPr="00026244" w:rsidRDefault="00766A11" w:rsidP="00C91C01">
      <w:pPr>
        <w:pStyle w:val="a3"/>
        <w:spacing w:after="0"/>
        <w:ind w:left="0"/>
        <w:rPr>
          <w:rFonts w:ascii="Palatino Linotype" w:hAnsi="Palatino Linotype"/>
          <w:b/>
          <w:sz w:val="24"/>
          <w:szCs w:val="24"/>
          <w:lang w:val="en-US"/>
        </w:rPr>
      </w:pPr>
    </w:p>
    <w:p w:rsidR="00766A11" w:rsidRPr="00026244" w:rsidRDefault="00766A11" w:rsidP="00EC59BE">
      <w:pPr>
        <w:pStyle w:val="af"/>
        <w:spacing w:line="276" w:lineRule="auto"/>
        <w:ind w:firstLine="426"/>
        <w:rPr>
          <w:rFonts w:ascii="Palatino Linotype" w:hAnsi="Palatino Linotype"/>
          <w:sz w:val="22"/>
          <w:szCs w:val="22"/>
          <w:lang w:val="en-US" w:eastAsia="en-US"/>
        </w:rPr>
        <w:sectPr w:rsidR="00766A11" w:rsidRPr="00026244" w:rsidSect="00766A11">
          <w:type w:val="continuous"/>
          <w:pgSz w:w="11906" w:h="16838"/>
          <w:pgMar w:top="1134" w:right="850" w:bottom="1134" w:left="1134" w:header="708" w:footer="708" w:gutter="0"/>
          <w:cols w:space="566"/>
          <w:docGrid w:linePitch="360"/>
        </w:sectPr>
      </w:pPr>
    </w:p>
    <w:p w:rsidR="00766A11" w:rsidRPr="00026244" w:rsidRDefault="00766A11" w:rsidP="00766A11">
      <w:pPr>
        <w:pStyle w:val="af"/>
        <w:spacing w:line="276" w:lineRule="auto"/>
        <w:ind w:firstLine="426"/>
        <w:rPr>
          <w:rFonts w:ascii="Palatino Linotype" w:hAnsi="Palatino Linotype"/>
          <w:sz w:val="22"/>
          <w:szCs w:val="22"/>
          <w:lang w:eastAsia="en-US"/>
        </w:rPr>
      </w:pPr>
      <w:r w:rsidRPr="00026244">
        <w:rPr>
          <w:rFonts w:ascii="Palatino Linotype" w:hAnsi="Palatino Linotype"/>
          <w:sz w:val="22"/>
          <w:szCs w:val="22"/>
          <w:lang w:eastAsia="en-US"/>
        </w:rPr>
        <w:lastRenderedPageBreak/>
        <w:t xml:space="preserve">Одной из наиболее важных и доходоприносящих услуг Банка является кредитование. По  итогам  2011 года  объем  ссудной  задолженности Банка вырос на 26,8% и достиг 285,3 млн. </w:t>
      </w:r>
      <w:proofErr w:type="spellStart"/>
      <w:r w:rsidRPr="00026244">
        <w:rPr>
          <w:rFonts w:ascii="Palatino Linotype" w:hAnsi="Palatino Linotype"/>
          <w:sz w:val="22"/>
          <w:szCs w:val="22"/>
          <w:lang w:eastAsia="en-US"/>
        </w:rPr>
        <w:t>сомони</w:t>
      </w:r>
      <w:proofErr w:type="spellEnd"/>
      <w:r w:rsidRPr="00026244">
        <w:rPr>
          <w:rFonts w:ascii="Palatino Linotype" w:hAnsi="Palatino Linotype"/>
          <w:sz w:val="22"/>
          <w:szCs w:val="22"/>
          <w:lang w:eastAsia="en-US"/>
        </w:rPr>
        <w:t>. Увеличить  объем  кредитных  операций Банк смог благодаря сотрудничеству с предприятиями малого  и среднего бизнеса - перспективным и растущим  сегментом  экономики республики.</w:t>
      </w:r>
    </w:p>
    <w:p w:rsidR="00766A11" w:rsidRPr="00026244" w:rsidRDefault="00766A11" w:rsidP="00766A11">
      <w:pPr>
        <w:pStyle w:val="af"/>
        <w:spacing w:line="276" w:lineRule="auto"/>
        <w:ind w:firstLine="426"/>
        <w:rPr>
          <w:rFonts w:ascii="Palatino Linotype" w:hAnsi="Palatino Linotype"/>
          <w:sz w:val="22"/>
          <w:szCs w:val="22"/>
          <w:lang w:eastAsia="en-US"/>
        </w:rPr>
      </w:pPr>
      <w:r w:rsidRPr="00026244">
        <w:rPr>
          <w:rFonts w:ascii="Palatino Linotype" w:hAnsi="Palatino Linotype"/>
          <w:sz w:val="22"/>
          <w:szCs w:val="22"/>
          <w:lang w:eastAsia="en-US"/>
        </w:rPr>
        <w:t>Благодаря расширению возможностей эффективного кредитования бизнеса клиента, в 2011 году филиалами ГСБ РТ «</w:t>
      </w:r>
      <w:proofErr w:type="spellStart"/>
      <w:r w:rsidRPr="00026244">
        <w:rPr>
          <w:rFonts w:ascii="Palatino Linotype" w:hAnsi="Palatino Linotype"/>
          <w:sz w:val="22"/>
          <w:szCs w:val="22"/>
          <w:lang w:eastAsia="en-US"/>
        </w:rPr>
        <w:t>Амонатбонк</w:t>
      </w:r>
      <w:proofErr w:type="spellEnd"/>
      <w:r w:rsidRPr="00026244">
        <w:rPr>
          <w:rFonts w:ascii="Palatino Linotype" w:hAnsi="Palatino Linotype"/>
          <w:sz w:val="22"/>
          <w:szCs w:val="22"/>
          <w:lang w:eastAsia="en-US"/>
        </w:rPr>
        <w:t xml:space="preserve">» было предоставлено кредитов 15 542 клиентам на общую сумму 213,5 млн. </w:t>
      </w:r>
      <w:proofErr w:type="spellStart"/>
      <w:r w:rsidRPr="00026244">
        <w:rPr>
          <w:rFonts w:ascii="Palatino Linotype" w:hAnsi="Palatino Linotype"/>
          <w:sz w:val="22"/>
          <w:szCs w:val="22"/>
          <w:lang w:eastAsia="en-US"/>
        </w:rPr>
        <w:t>сомони</w:t>
      </w:r>
      <w:proofErr w:type="spellEnd"/>
      <w:r w:rsidRPr="00026244">
        <w:rPr>
          <w:rFonts w:ascii="Palatino Linotype" w:hAnsi="Palatino Linotype"/>
          <w:sz w:val="22"/>
          <w:szCs w:val="22"/>
          <w:lang w:eastAsia="en-US"/>
        </w:rPr>
        <w:t xml:space="preserve">, что на 64,2 млн. </w:t>
      </w:r>
      <w:proofErr w:type="spellStart"/>
      <w:r w:rsidRPr="00026244">
        <w:rPr>
          <w:rFonts w:ascii="Palatino Linotype" w:hAnsi="Palatino Linotype"/>
          <w:sz w:val="22"/>
          <w:szCs w:val="22"/>
          <w:lang w:eastAsia="en-US"/>
        </w:rPr>
        <w:t>сомони</w:t>
      </w:r>
      <w:proofErr w:type="spellEnd"/>
      <w:r w:rsidRPr="00026244">
        <w:rPr>
          <w:rFonts w:ascii="Palatino Linotype" w:hAnsi="Palatino Linotype"/>
          <w:sz w:val="22"/>
          <w:szCs w:val="22"/>
          <w:lang w:eastAsia="en-US"/>
        </w:rPr>
        <w:t xml:space="preserve"> или на 43 % больше  уровня прошлого  года. </w:t>
      </w:r>
    </w:p>
    <w:p w:rsidR="00766A11" w:rsidRPr="00026244" w:rsidRDefault="00766A11" w:rsidP="00766A11">
      <w:pPr>
        <w:pStyle w:val="af"/>
        <w:spacing w:line="276" w:lineRule="auto"/>
        <w:ind w:firstLine="426"/>
        <w:rPr>
          <w:rFonts w:ascii="Palatino Linotype" w:hAnsi="Palatino Linotype"/>
          <w:sz w:val="22"/>
          <w:szCs w:val="22"/>
          <w:lang w:eastAsia="en-US"/>
        </w:rPr>
      </w:pPr>
      <w:r w:rsidRPr="00026244">
        <w:rPr>
          <w:rFonts w:ascii="Palatino Linotype" w:hAnsi="Palatino Linotype"/>
          <w:sz w:val="22"/>
          <w:szCs w:val="22"/>
          <w:lang w:eastAsia="en-US"/>
        </w:rPr>
        <w:t xml:space="preserve">Структура кредитных вложений по отраслевому признаку показывает, что основная доля была направлена на развитие сельского хозяйства в объеме 67,5 </w:t>
      </w:r>
      <w:proofErr w:type="spellStart"/>
      <w:r w:rsidRPr="00026244">
        <w:rPr>
          <w:rFonts w:ascii="Palatino Linotype" w:hAnsi="Palatino Linotype"/>
          <w:sz w:val="22"/>
          <w:szCs w:val="22"/>
          <w:lang w:eastAsia="en-US"/>
        </w:rPr>
        <w:t>млн</w:t>
      </w:r>
      <w:proofErr w:type="gramStart"/>
      <w:r w:rsidRPr="00026244">
        <w:rPr>
          <w:rFonts w:ascii="Palatino Linotype" w:hAnsi="Palatino Linotype"/>
          <w:sz w:val="22"/>
          <w:szCs w:val="22"/>
          <w:lang w:eastAsia="en-US"/>
        </w:rPr>
        <w:t>.с</w:t>
      </w:r>
      <w:proofErr w:type="gramEnd"/>
      <w:r w:rsidRPr="00026244">
        <w:rPr>
          <w:rFonts w:ascii="Palatino Linotype" w:hAnsi="Palatino Linotype"/>
          <w:sz w:val="22"/>
          <w:szCs w:val="22"/>
          <w:lang w:eastAsia="en-US"/>
        </w:rPr>
        <w:t>омони</w:t>
      </w:r>
      <w:proofErr w:type="spellEnd"/>
      <w:r w:rsidRPr="00026244">
        <w:rPr>
          <w:rFonts w:ascii="Palatino Linotype" w:hAnsi="Palatino Linotype"/>
          <w:sz w:val="22"/>
          <w:szCs w:val="22"/>
          <w:lang w:eastAsia="en-US"/>
        </w:rPr>
        <w:t>.</w:t>
      </w:r>
    </w:p>
    <w:p w:rsidR="00FB5F40" w:rsidRPr="00026244" w:rsidRDefault="00766A11" w:rsidP="00766A11">
      <w:pPr>
        <w:pStyle w:val="af"/>
        <w:spacing w:line="300" w:lineRule="auto"/>
        <w:ind w:firstLine="284"/>
        <w:rPr>
          <w:rFonts w:ascii="Palatino Linotype" w:hAnsi="Palatino Linotype"/>
          <w:sz w:val="22"/>
          <w:szCs w:val="22"/>
          <w:lang w:val="en-US" w:eastAsia="en-US"/>
        </w:rPr>
      </w:pPr>
      <w:r w:rsidRPr="00026244">
        <w:rPr>
          <w:rFonts w:ascii="Palatino Linotype" w:hAnsi="Palatino Linotype"/>
          <w:sz w:val="22"/>
          <w:szCs w:val="22"/>
        </w:rPr>
        <w:t xml:space="preserve">Претворяя в жизнь  поручения Президента РТ Э. </w:t>
      </w:r>
      <w:proofErr w:type="spellStart"/>
      <w:r w:rsidRPr="00026244">
        <w:rPr>
          <w:rFonts w:ascii="Palatino Linotype" w:hAnsi="Palatino Linotype"/>
          <w:sz w:val="22"/>
          <w:szCs w:val="22"/>
        </w:rPr>
        <w:t>Рахмон</w:t>
      </w:r>
      <w:proofErr w:type="spellEnd"/>
      <w:r w:rsidRPr="00026244">
        <w:rPr>
          <w:rFonts w:ascii="Palatino Linotype" w:hAnsi="Palatino Linotype"/>
          <w:sz w:val="22"/>
          <w:szCs w:val="22"/>
        </w:rPr>
        <w:t xml:space="preserve">, </w:t>
      </w:r>
      <w:proofErr w:type="spellStart"/>
      <w:r w:rsidRPr="00026244">
        <w:rPr>
          <w:rFonts w:ascii="Palatino Linotype" w:hAnsi="Palatino Linotype"/>
          <w:sz w:val="22"/>
          <w:szCs w:val="22"/>
        </w:rPr>
        <w:t>отмечанных</w:t>
      </w:r>
      <w:proofErr w:type="spellEnd"/>
      <w:r w:rsidRPr="00026244">
        <w:rPr>
          <w:rFonts w:ascii="Palatino Linotype" w:hAnsi="Palatino Linotype"/>
          <w:sz w:val="22"/>
          <w:szCs w:val="22"/>
        </w:rPr>
        <w:t xml:space="preserve"> в ежегодных Посланиях к </w:t>
      </w:r>
      <w:proofErr w:type="spellStart"/>
      <w:r w:rsidRPr="00026244">
        <w:rPr>
          <w:rFonts w:ascii="Palatino Linotype" w:hAnsi="Palatino Linotype"/>
          <w:sz w:val="22"/>
          <w:szCs w:val="22"/>
        </w:rPr>
        <w:t>Маджлиси</w:t>
      </w:r>
      <w:proofErr w:type="spellEnd"/>
      <w:r w:rsidRPr="00026244">
        <w:rPr>
          <w:rFonts w:ascii="Palatino Linotype" w:hAnsi="Palatino Linotype"/>
          <w:sz w:val="22"/>
          <w:szCs w:val="22"/>
        </w:rPr>
        <w:t xml:space="preserve">             </w:t>
      </w:r>
      <w:r w:rsidR="00FB5F40" w:rsidRPr="00026244">
        <w:rPr>
          <w:rFonts w:ascii="Palatino Linotype" w:hAnsi="Palatino Linotype"/>
          <w:sz w:val="22"/>
          <w:szCs w:val="22"/>
          <w:lang w:val="en-US"/>
        </w:rPr>
        <w:lastRenderedPageBreak/>
        <w:t>One</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of</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the</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most</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important</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and</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profitable</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services</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of</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the</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Bank</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is</w:t>
      </w:r>
      <w:r w:rsidR="00FB5F40" w:rsidRPr="00026244">
        <w:rPr>
          <w:rFonts w:ascii="Palatino Linotype" w:hAnsi="Palatino Linotype"/>
          <w:sz w:val="22"/>
          <w:szCs w:val="22"/>
        </w:rPr>
        <w:t xml:space="preserve"> </w:t>
      </w:r>
      <w:r w:rsidR="00FB5F40" w:rsidRPr="00026244">
        <w:rPr>
          <w:rFonts w:ascii="Palatino Linotype" w:hAnsi="Palatino Linotype"/>
          <w:sz w:val="22"/>
          <w:szCs w:val="22"/>
          <w:lang w:val="en-US"/>
        </w:rPr>
        <w:t>crediting</w:t>
      </w:r>
      <w:r w:rsidR="00FB5F40" w:rsidRPr="00026244">
        <w:rPr>
          <w:rFonts w:ascii="Palatino Linotype" w:hAnsi="Palatino Linotype"/>
          <w:sz w:val="22"/>
          <w:szCs w:val="22"/>
          <w:lang w:eastAsia="en-US"/>
        </w:rPr>
        <w:t xml:space="preserve">.   </w:t>
      </w:r>
      <w:r w:rsidR="00FB5F40" w:rsidRPr="00026244">
        <w:rPr>
          <w:rFonts w:ascii="Palatino Linotype" w:hAnsi="Palatino Linotype"/>
          <w:sz w:val="22"/>
          <w:szCs w:val="22"/>
          <w:lang w:val="en-US" w:eastAsia="en-US"/>
        </w:rPr>
        <w:t>At the end of 2011 the volume of loan debts of the Bank grew by 2</w:t>
      </w:r>
      <w:r w:rsidR="009F1C1B" w:rsidRPr="00026244">
        <w:rPr>
          <w:rFonts w:ascii="Palatino Linotype" w:hAnsi="Palatino Linotype"/>
          <w:sz w:val="22"/>
          <w:szCs w:val="22"/>
          <w:lang w:val="en-US" w:eastAsia="en-US"/>
        </w:rPr>
        <w:t>6,8</w:t>
      </w:r>
      <w:r w:rsidR="00FB5F40" w:rsidRPr="00026244">
        <w:rPr>
          <w:rFonts w:ascii="Palatino Linotype" w:hAnsi="Palatino Linotype"/>
          <w:sz w:val="22"/>
          <w:szCs w:val="22"/>
          <w:lang w:val="en-US" w:eastAsia="en-US"/>
        </w:rPr>
        <w:t>% and achieved 28</w:t>
      </w:r>
      <w:r w:rsidR="009F1C1B" w:rsidRPr="00026244">
        <w:rPr>
          <w:rFonts w:ascii="Palatino Linotype" w:hAnsi="Palatino Linotype"/>
          <w:sz w:val="22"/>
          <w:szCs w:val="22"/>
          <w:lang w:val="en-US" w:eastAsia="en-US"/>
        </w:rPr>
        <w:t>5,3</w:t>
      </w:r>
      <w:r w:rsidR="00FB5F40" w:rsidRPr="00026244">
        <w:rPr>
          <w:rFonts w:ascii="Palatino Linotype" w:hAnsi="Palatino Linotype"/>
          <w:sz w:val="22"/>
          <w:szCs w:val="22"/>
          <w:lang w:val="en-US" w:eastAsia="en-US"/>
        </w:rPr>
        <w:t xml:space="preserve"> million TJS.  Bank succeeded in increasing the volume of loan transactions due to its tight cooperation with SME which is considered one of the most promising and growing segment of economy of the country.</w:t>
      </w:r>
    </w:p>
    <w:p w:rsidR="00FB5F40" w:rsidRPr="00026244" w:rsidRDefault="00FB5F40" w:rsidP="00766A11">
      <w:pPr>
        <w:pStyle w:val="af"/>
        <w:spacing w:line="300" w:lineRule="auto"/>
        <w:ind w:firstLine="284"/>
        <w:rPr>
          <w:rFonts w:ascii="Palatino Linotype" w:hAnsi="Palatino Linotype"/>
          <w:sz w:val="22"/>
          <w:szCs w:val="22"/>
          <w:lang w:val="en-US" w:eastAsia="en-US"/>
        </w:rPr>
      </w:pPr>
      <w:r w:rsidRPr="00026244">
        <w:rPr>
          <w:rFonts w:ascii="Palatino Linotype" w:hAnsi="Palatino Linotype"/>
          <w:sz w:val="22"/>
          <w:szCs w:val="22"/>
          <w:lang w:val="en-US" w:eastAsia="en-US"/>
        </w:rPr>
        <w:t xml:space="preserve"> Due to expansion of possibilities for effective crediting of the client’s business in 2011 the  branches of </w:t>
      </w:r>
      <w:proofErr w:type="spellStart"/>
      <w:r w:rsidRPr="00026244">
        <w:rPr>
          <w:rFonts w:ascii="Palatino Linotype" w:hAnsi="Palatino Linotype"/>
          <w:sz w:val="22"/>
          <w:szCs w:val="22"/>
          <w:lang w:val="en-US" w:eastAsia="en-US"/>
        </w:rPr>
        <w:t>Amonatb</w:t>
      </w:r>
      <w:r w:rsidR="00662E5A" w:rsidRPr="00026244">
        <w:rPr>
          <w:rFonts w:ascii="Palatino Linotype" w:hAnsi="Palatino Linotype"/>
          <w:sz w:val="22"/>
          <w:szCs w:val="22"/>
          <w:lang w:val="en-US" w:eastAsia="en-US"/>
        </w:rPr>
        <w:t>a</w:t>
      </w:r>
      <w:r w:rsidRPr="00026244">
        <w:rPr>
          <w:rFonts w:ascii="Palatino Linotype" w:hAnsi="Palatino Linotype"/>
          <w:sz w:val="22"/>
          <w:szCs w:val="22"/>
          <w:lang w:val="en-US" w:eastAsia="en-US"/>
        </w:rPr>
        <w:t>nk</w:t>
      </w:r>
      <w:proofErr w:type="spellEnd"/>
      <w:r w:rsidRPr="00026244">
        <w:rPr>
          <w:rFonts w:ascii="Palatino Linotype" w:hAnsi="Palatino Linotype"/>
          <w:sz w:val="22"/>
          <w:szCs w:val="22"/>
          <w:lang w:val="en-US" w:eastAsia="en-US"/>
        </w:rPr>
        <w:t xml:space="preserve"> granted credits to  15 542 clients to the total sum of 213</w:t>
      </w:r>
      <w:r w:rsidR="00C147BC" w:rsidRPr="00026244">
        <w:rPr>
          <w:rFonts w:ascii="Palatino Linotype" w:hAnsi="Palatino Linotype"/>
          <w:sz w:val="22"/>
          <w:szCs w:val="22"/>
          <w:lang w:val="en-US" w:eastAsia="en-US"/>
        </w:rPr>
        <w:t>,</w:t>
      </w:r>
      <w:r w:rsidRPr="00026244">
        <w:rPr>
          <w:rFonts w:ascii="Palatino Linotype" w:hAnsi="Palatino Linotype"/>
          <w:sz w:val="22"/>
          <w:szCs w:val="22"/>
          <w:lang w:val="en-US" w:eastAsia="en-US"/>
        </w:rPr>
        <w:t>5  million TJS and it is 64</w:t>
      </w:r>
      <w:r w:rsidR="00C147BC" w:rsidRPr="00026244">
        <w:rPr>
          <w:rFonts w:ascii="Palatino Linotype" w:hAnsi="Palatino Linotype"/>
          <w:sz w:val="22"/>
          <w:szCs w:val="22"/>
          <w:lang w:val="en-US" w:eastAsia="en-US"/>
        </w:rPr>
        <w:t>,</w:t>
      </w:r>
      <w:r w:rsidRPr="00026244">
        <w:rPr>
          <w:rFonts w:ascii="Palatino Linotype" w:hAnsi="Palatino Linotype"/>
          <w:sz w:val="22"/>
          <w:szCs w:val="22"/>
          <w:lang w:val="en-US" w:eastAsia="en-US"/>
        </w:rPr>
        <w:t xml:space="preserve">2 million or 43 % more than the past year’s level. </w:t>
      </w:r>
    </w:p>
    <w:p w:rsidR="00FB5F40" w:rsidRPr="00026244" w:rsidRDefault="00FB5F40" w:rsidP="00766A11">
      <w:pPr>
        <w:spacing w:after="0" w:line="300" w:lineRule="auto"/>
        <w:ind w:firstLine="284"/>
        <w:jc w:val="both"/>
        <w:rPr>
          <w:rFonts w:ascii="Palatino Linotype" w:hAnsi="Palatino Linotype"/>
          <w:lang w:val="en-US"/>
        </w:rPr>
      </w:pPr>
      <w:r w:rsidRPr="00026244">
        <w:rPr>
          <w:rFonts w:ascii="Palatino Linotype" w:hAnsi="Palatino Linotype"/>
          <w:lang w:val="en-US"/>
        </w:rPr>
        <w:t>If to breakdown the structure of credit investments by sectors the main portion was aimed at agriculture development it’s volume composes 67</w:t>
      </w:r>
      <w:r w:rsidR="004F317D" w:rsidRPr="00026244">
        <w:rPr>
          <w:rFonts w:ascii="Palatino Linotype" w:hAnsi="Palatino Linotype"/>
          <w:lang w:val="en-US"/>
        </w:rPr>
        <w:t>,</w:t>
      </w:r>
      <w:r w:rsidRPr="00026244">
        <w:rPr>
          <w:rFonts w:ascii="Palatino Linotype" w:hAnsi="Palatino Linotype"/>
          <w:lang w:val="en-US"/>
        </w:rPr>
        <w:t>5 million TJS.</w:t>
      </w:r>
    </w:p>
    <w:p w:rsidR="00766A11" w:rsidRPr="00026244" w:rsidRDefault="00FB5F40" w:rsidP="00766A11">
      <w:pPr>
        <w:spacing w:after="0" w:line="300" w:lineRule="auto"/>
        <w:ind w:firstLine="284"/>
        <w:jc w:val="both"/>
        <w:rPr>
          <w:rFonts w:ascii="Palatino Linotype" w:hAnsi="Palatino Linotype"/>
          <w:lang w:val="en-US"/>
        </w:rPr>
      </w:pPr>
      <w:r w:rsidRPr="00026244">
        <w:rPr>
          <w:rFonts w:ascii="Palatino Linotype" w:hAnsi="Palatino Linotype"/>
          <w:lang w:val="en-US"/>
        </w:rPr>
        <w:t xml:space="preserve">For putting into practice the instructions of the President of the country </w:t>
      </w:r>
      <w:proofErr w:type="spellStart"/>
      <w:r w:rsidRPr="00026244">
        <w:rPr>
          <w:rFonts w:ascii="Palatino Linotype" w:hAnsi="Palatino Linotype"/>
          <w:lang w:val="en-US"/>
        </w:rPr>
        <w:t>Emomali</w:t>
      </w:r>
      <w:proofErr w:type="spellEnd"/>
      <w:r w:rsidR="00346354" w:rsidRPr="00026244">
        <w:rPr>
          <w:rFonts w:ascii="Palatino Linotype" w:hAnsi="Palatino Linotype"/>
          <w:lang w:val="en-US"/>
        </w:rPr>
        <w:t xml:space="preserve"> </w:t>
      </w:r>
      <w:proofErr w:type="spellStart"/>
      <w:r w:rsidRPr="00026244">
        <w:rPr>
          <w:rFonts w:ascii="Palatino Linotype" w:hAnsi="Palatino Linotype"/>
          <w:lang w:val="en-US"/>
        </w:rPr>
        <w:t>Rahmon</w:t>
      </w:r>
      <w:proofErr w:type="spellEnd"/>
      <w:r w:rsidRPr="00026244">
        <w:rPr>
          <w:rFonts w:ascii="Palatino Linotype" w:hAnsi="Palatino Linotype"/>
          <w:lang w:val="en-US"/>
        </w:rPr>
        <w:t xml:space="preserve">, </w:t>
      </w:r>
      <w:r w:rsidR="00346354" w:rsidRPr="00026244">
        <w:rPr>
          <w:rFonts w:ascii="Palatino Linotype" w:hAnsi="Palatino Linotype"/>
          <w:lang w:val="en-US"/>
        </w:rPr>
        <w:t xml:space="preserve">given in </w:t>
      </w:r>
      <w:r w:rsidRPr="00026244">
        <w:rPr>
          <w:rFonts w:ascii="Palatino Linotype" w:hAnsi="Palatino Linotype"/>
          <w:lang w:val="en-US"/>
        </w:rPr>
        <w:t>his annual Appeals to the Parliament (</w:t>
      </w:r>
      <w:proofErr w:type="spellStart"/>
      <w:r w:rsidRPr="00026244">
        <w:rPr>
          <w:rFonts w:ascii="Palatino Linotype" w:hAnsi="Palatino Linotype"/>
          <w:lang w:val="en-US"/>
        </w:rPr>
        <w:t>Majlisi</w:t>
      </w:r>
      <w:proofErr w:type="spellEnd"/>
      <w:r w:rsidR="00766A11" w:rsidRPr="00026244">
        <w:rPr>
          <w:rFonts w:ascii="Palatino Linotype" w:hAnsi="Palatino Linotype"/>
          <w:lang w:val="en-US"/>
        </w:rPr>
        <w:t xml:space="preserve"> </w:t>
      </w:r>
      <w:proofErr w:type="spellStart"/>
      <w:r w:rsidR="00766A11" w:rsidRPr="00026244">
        <w:rPr>
          <w:rFonts w:ascii="Palatino Linotype" w:hAnsi="Palatino Linotype"/>
          <w:lang w:val="en-US"/>
        </w:rPr>
        <w:t>Oli</w:t>
      </w:r>
      <w:proofErr w:type="spellEnd"/>
      <w:r w:rsidR="00766A11" w:rsidRPr="00026244">
        <w:rPr>
          <w:rFonts w:ascii="Palatino Linotype" w:hAnsi="Palatino Linotype"/>
          <w:lang w:val="en-US"/>
        </w:rPr>
        <w:t xml:space="preserve">) regarding credit support to SME </w:t>
      </w:r>
    </w:p>
    <w:p w:rsidR="00766A11" w:rsidRPr="00026244" w:rsidRDefault="00766A11" w:rsidP="00766A11">
      <w:pPr>
        <w:spacing w:after="0"/>
        <w:jc w:val="both"/>
        <w:rPr>
          <w:rFonts w:ascii="Palatino Linotype" w:hAnsi="Palatino Linotype"/>
        </w:rPr>
      </w:pPr>
      <w:proofErr w:type="gramStart"/>
      <w:r w:rsidRPr="00026244">
        <w:rPr>
          <w:rFonts w:ascii="Palatino Linotype" w:hAnsi="Palatino Linotype"/>
        </w:rPr>
        <w:lastRenderedPageBreak/>
        <w:t xml:space="preserve">Оли о кредитной поддержки малого и среднего бизнеса в сельских, горных районах республики, Амонатбанк осуществляет решение вопроса кредитования этого сектора хозяйствования не только за счет собственных средств, но и за счет выделенных ресурсов и привлеченных инвестиций. </w:t>
      </w:r>
      <w:proofErr w:type="gramEnd"/>
    </w:p>
    <w:p w:rsidR="00766A11" w:rsidRPr="00026244" w:rsidRDefault="00766A11" w:rsidP="00766A11">
      <w:pPr>
        <w:spacing w:after="0"/>
        <w:ind w:firstLine="284"/>
        <w:jc w:val="both"/>
        <w:rPr>
          <w:rFonts w:ascii="Palatino Linotype" w:hAnsi="Palatino Linotype"/>
        </w:rPr>
      </w:pPr>
      <w:r w:rsidRPr="00026244">
        <w:rPr>
          <w:rFonts w:ascii="Palatino Linotype" w:hAnsi="Palatino Linotype"/>
        </w:rPr>
        <w:t xml:space="preserve">Например, выделенные ресурсы Министерством финансов Республики Таджикистан в сумме 10,0 млн. </w:t>
      </w:r>
      <w:proofErr w:type="spellStart"/>
      <w:r w:rsidRPr="00026244">
        <w:rPr>
          <w:rFonts w:ascii="Palatino Linotype" w:hAnsi="Palatino Linotype"/>
        </w:rPr>
        <w:t>сомони</w:t>
      </w:r>
      <w:proofErr w:type="spellEnd"/>
      <w:r w:rsidRPr="00026244">
        <w:rPr>
          <w:rFonts w:ascii="Palatino Linotype" w:hAnsi="Palatino Linotype"/>
        </w:rPr>
        <w:t xml:space="preserve">  в течение трёх лет (2005-2007г.) для выдачи краткосрочных кредитов через сеть филиалов Амонатбанка полностью освоены и с учетом возвратности за отчетный период произведена выдача кредитов 1 423 клиентам на общую сумму 7,9 млн. </w:t>
      </w:r>
      <w:proofErr w:type="spellStart"/>
      <w:r w:rsidRPr="00026244">
        <w:rPr>
          <w:rFonts w:ascii="Palatino Linotype" w:hAnsi="Palatino Linotype"/>
        </w:rPr>
        <w:t>сомони</w:t>
      </w:r>
      <w:proofErr w:type="spellEnd"/>
      <w:r w:rsidRPr="00026244">
        <w:rPr>
          <w:rFonts w:ascii="Palatino Linotype" w:hAnsi="Palatino Linotype"/>
        </w:rPr>
        <w:t xml:space="preserve">. За весь период кредитования с учетом оборачиваемости ресурсов произведена выдача кредитов 12 218 клиентам  на общую сумму 58,3 млн. </w:t>
      </w:r>
      <w:proofErr w:type="spellStart"/>
      <w:r w:rsidRPr="00026244">
        <w:rPr>
          <w:rFonts w:ascii="Palatino Linotype" w:hAnsi="Palatino Linotype"/>
        </w:rPr>
        <w:t>сомони</w:t>
      </w:r>
      <w:proofErr w:type="spellEnd"/>
      <w:r w:rsidRPr="00026244">
        <w:rPr>
          <w:rFonts w:ascii="Palatino Linotype" w:hAnsi="Palatino Linotype"/>
        </w:rPr>
        <w:t xml:space="preserve">. По состоянию на 31 декабря 2011 года остаток ссудной задолженности по данным ресурсам составил  8,4 млн. </w:t>
      </w:r>
      <w:proofErr w:type="spellStart"/>
      <w:r w:rsidRPr="00026244">
        <w:rPr>
          <w:rFonts w:ascii="Palatino Linotype" w:hAnsi="Palatino Linotype"/>
        </w:rPr>
        <w:t>сомони</w:t>
      </w:r>
      <w:proofErr w:type="spellEnd"/>
      <w:r w:rsidRPr="00026244">
        <w:rPr>
          <w:rFonts w:ascii="Palatino Linotype" w:hAnsi="Palatino Linotype"/>
        </w:rPr>
        <w:t xml:space="preserve">. </w:t>
      </w:r>
    </w:p>
    <w:p w:rsidR="00766A11" w:rsidRPr="00026244" w:rsidRDefault="00766A11" w:rsidP="00766A11">
      <w:pPr>
        <w:spacing w:after="0"/>
        <w:ind w:firstLine="284"/>
        <w:jc w:val="both"/>
        <w:rPr>
          <w:rFonts w:ascii="Palatino Linotype" w:hAnsi="Palatino Linotype"/>
        </w:rPr>
      </w:pPr>
      <w:r w:rsidRPr="00026244">
        <w:rPr>
          <w:rFonts w:ascii="Palatino Linotype" w:hAnsi="Palatino Linotype"/>
        </w:rPr>
        <w:t xml:space="preserve">Выполнение Правительственной программы по стратегии </w:t>
      </w:r>
      <w:proofErr w:type="gramStart"/>
      <w:r w:rsidRPr="00026244">
        <w:rPr>
          <w:rFonts w:ascii="Palatino Linotype" w:hAnsi="Palatino Linotype"/>
        </w:rPr>
        <w:t>сокращения уровня бедности населения республики</w:t>
      </w:r>
      <w:proofErr w:type="gramEnd"/>
      <w:r w:rsidRPr="00026244">
        <w:rPr>
          <w:rFonts w:ascii="Palatino Linotype" w:hAnsi="Palatino Linotype"/>
        </w:rPr>
        <w:t xml:space="preserve"> Амонатбанк осуществляет путем выдачи </w:t>
      </w:r>
      <w:proofErr w:type="spellStart"/>
      <w:r w:rsidRPr="00026244">
        <w:rPr>
          <w:rFonts w:ascii="Palatino Linotype" w:hAnsi="Palatino Linotype"/>
        </w:rPr>
        <w:t>микрокредитов</w:t>
      </w:r>
      <w:proofErr w:type="spellEnd"/>
      <w:r w:rsidRPr="00026244">
        <w:rPr>
          <w:rFonts w:ascii="Palatino Linotype" w:hAnsi="Palatino Linotype"/>
        </w:rPr>
        <w:t>.</w:t>
      </w:r>
    </w:p>
    <w:p w:rsidR="00766A11" w:rsidRPr="00026244" w:rsidRDefault="00766A11" w:rsidP="00766A11">
      <w:pPr>
        <w:spacing w:after="0"/>
        <w:ind w:firstLine="284"/>
        <w:jc w:val="both"/>
        <w:rPr>
          <w:rFonts w:ascii="Palatino Linotype" w:hAnsi="Palatino Linotype"/>
        </w:rPr>
      </w:pPr>
      <w:r w:rsidRPr="00026244">
        <w:rPr>
          <w:rFonts w:ascii="Palatino Linotype" w:hAnsi="Palatino Linotype"/>
        </w:rPr>
        <w:t xml:space="preserve">За отчетный период, филиалами Амонатбанка были выданы </w:t>
      </w:r>
      <w:proofErr w:type="spellStart"/>
      <w:r w:rsidRPr="00026244">
        <w:rPr>
          <w:rFonts w:ascii="Palatino Linotype" w:hAnsi="Palatino Linotype"/>
        </w:rPr>
        <w:t>микрокредиты</w:t>
      </w:r>
      <w:proofErr w:type="spellEnd"/>
      <w:r w:rsidRPr="00026244">
        <w:rPr>
          <w:rFonts w:ascii="Palatino Linotype" w:hAnsi="Palatino Linotype"/>
        </w:rPr>
        <w:t xml:space="preserve"> 15 237 клиентам на общую сумму 120,6 млн. </w:t>
      </w:r>
      <w:proofErr w:type="spellStart"/>
      <w:r w:rsidRPr="00026244">
        <w:rPr>
          <w:rFonts w:ascii="Palatino Linotype" w:hAnsi="Palatino Linotype"/>
        </w:rPr>
        <w:t>сомони</w:t>
      </w:r>
      <w:proofErr w:type="spellEnd"/>
      <w:r w:rsidRPr="00026244">
        <w:rPr>
          <w:rFonts w:ascii="Palatino Linotype" w:hAnsi="Palatino Linotype"/>
        </w:rPr>
        <w:t xml:space="preserve">, которые составляют 56% от общего объема предоставленных кредитов. </w:t>
      </w:r>
    </w:p>
    <w:p w:rsidR="00766A11" w:rsidRPr="00026244" w:rsidRDefault="00766A11" w:rsidP="00766A11">
      <w:pPr>
        <w:pStyle w:val="a3"/>
        <w:spacing w:after="0"/>
        <w:ind w:left="0" w:firstLine="284"/>
        <w:jc w:val="both"/>
        <w:rPr>
          <w:rFonts w:ascii="Palatino Linotype" w:hAnsi="Palatino Linotype"/>
        </w:rPr>
      </w:pPr>
      <w:r w:rsidRPr="00026244">
        <w:rPr>
          <w:rFonts w:ascii="Palatino Linotype" w:hAnsi="Palatino Linotype"/>
        </w:rPr>
        <w:t xml:space="preserve">В 2012 году банк планирует увеличивать свой кредитный портфель, придерживаясь основных принципов своей кредитной политики: плавное  наращивание портфеля, повышение его доходности и минимизация кредитных рисков. </w:t>
      </w:r>
    </w:p>
    <w:p w:rsidR="00766A11" w:rsidRPr="00026244" w:rsidRDefault="00766A11" w:rsidP="00766A11">
      <w:pPr>
        <w:spacing w:after="0" w:line="264" w:lineRule="auto"/>
        <w:ind w:firstLine="284"/>
        <w:jc w:val="both"/>
        <w:rPr>
          <w:rFonts w:ascii="Palatino Linotype" w:hAnsi="Palatino Linotype"/>
        </w:rPr>
      </w:pPr>
    </w:p>
    <w:p w:rsidR="00766A11" w:rsidRPr="00026244" w:rsidRDefault="00766A11" w:rsidP="00766A11">
      <w:pPr>
        <w:spacing w:after="0" w:line="264" w:lineRule="auto"/>
        <w:ind w:firstLine="284"/>
        <w:jc w:val="both"/>
        <w:rPr>
          <w:rFonts w:ascii="Palatino Linotype" w:hAnsi="Palatino Linotype"/>
        </w:rPr>
      </w:pPr>
    </w:p>
    <w:p w:rsidR="00FB5F40" w:rsidRPr="00026244" w:rsidRDefault="00766A11" w:rsidP="00766A11">
      <w:pPr>
        <w:spacing w:after="0" w:line="336" w:lineRule="auto"/>
        <w:jc w:val="both"/>
        <w:rPr>
          <w:rFonts w:ascii="Palatino Linotype" w:hAnsi="Palatino Linotype"/>
          <w:lang w:val="en-US"/>
        </w:rPr>
      </w:pPr>
      <w:proofErr w:type="gramStart"/>
      <w:r w:rsidRPr="00026244">
        <w:rPr>
          <w:rFonts w:ascii="Palatino Linotype" w:hAnsi="Palatino Linotype"/>
          <w:lang w:val="en-US"/>
        </w:rPr>
        <w:lastRenderedPageBreak/>
        <w:t>and</w:t>
      </w:r>
      <w:proofErr w:type="gramEnd"/>
      <w:r w:rsidRPr="00026244">
        <w:rPr>
          <w:rFonts w:ascii="Palatino Linotype" w:hAnsi="Palatino Linotype"/>
          <w:lang w:val="en-US"/>
        </w:rPr>
        <w:t xml:space="preserve"> agriculture in remote mountainous regions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uses not only its own funds but </w:t>
      </w:r>
      <w:r w:rsidR="00FB5F40" w:rsidRPr="00026244">
        <w:rPr>
          <w:rFonts w:ascii="Palatino Linotype" w:hAnsi="Palatino Linotype"/>
          <w:lang w:val="en-US"/>
        </w:rPr>
        <w:t xml:space="preserve">also out of allocated resources and attracted investments. </w:t>
      </w:r>
    </w:p>
    <w:p w:rsidR="00766A11" w:rsidRPr="00026244" w:rsidRDefault="00766A11" w:rsidP="00766A11">
      <w:pPr>
        <w:spacing w:after="0" w:line="336" w:lineRule="auto"/>
        <w:ind w:firstLine="284"/>
        <w:jc w:val="both"/>
        <w:rPr>
          <w:rFonts w:ascii="Palatino Linotype" w:hAnsi="Palatino Linotype"/>
          <w:lang w:val="en-US"/>
        </w:rPr>
      </w:pPr>
    </w:p>
    <w:p w:rsidR="00766A11" w:rsidRPr="00026244" w:rsidRDefault="00766A11" w:rsidP="00766A11">
      <w:pPr>
        <w:spacing w:after="0" w:line="336" w:lineRule="auto"/>
        <w:ind w:firstLine="284"/>
        <w:jc w:val="both"/>
        <w:rPr>
          <w:rFonts w:ascii="Palatino Linotype" w:hAnsi="Palatino Linotype"/>
          <w:lang w:val="en-US"/>
        </w:rPr>
      </w:pPr>
    </w:p>
    <w:p w:rsidR="00766A11" w:rsidRPr="00026244" w:rsidRDefault="00766A11" w:rsidP="00766A11">
      <w:pPr>
        <w:spacing w:after="0" w:line="336" w:lineRule="auto"/>
        <w:ind w:firstLine="284"/>
        <w:jc w:val="both"/>
        <w:rPr>
          <w:rFonts w:ascii="Palatino Linotype" w:hAnsi="Palatino Linotype"/>
          <w:lang w:val="en-US"/>
        </w:rPr>
      </w:pPr>
    </w:p>
    <w:p w:rsidR="00FB5F40" w:rsidRPr="00026244" w:rsidRDefault="00FB5F40" w:rsidP="003306BA">
      <w:pPr>
        <w:spacing w:after="0"/>
        <w:ind w:firstLine="284"/>
        <w:jc w:val="both"/>
        <w:rPr>
          <w:rFonts w:ascii="Palatino Linotype" w:hAnsi="Palatino Linotype"/>
          <w:lang w:val="en-US"/>
        </w:rPr>
      </w:pPr>
      <w:r w:rsidRPr="00026244">
        <w:rPr>
          <w:rFonts w:ascii="Palatino Linotype" w:hAnsi="Palatino Linotype"/>
          <w:lang w:val="en-US"/>
        </w:rPr>
        <w:t xml:space="preserve">For example, allocated by the Ministry of Finance resources at the sum of 10 million TJS during three years (2005-2007) were used for short term crediting through branches of the Bank. These funds are fully used and taking into account repayment during the reporting period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granted credits to 1 423 clients to the total sum of </w:t>
      </w:r>
      <w:r w:rsidR="003863D7" w:rsidRPr="00026244">
        <w:rPr>
          <w:rFonts w:ascii="Palatino Linotype" w:hAnsi="Palatino Linotype"/>
          <w:lang w:val="en-US"/>
        </w:rPr>
        <w:t>7</w:t>
      </w:r>
      <w:proofErr w:type="gramStart"/>
      <w:r w:rsidR="003863D7" w:rsidRPr="00026244">
        <w:rPr>
          <w:rFonts w:ascii="Palatino Linotype" w:hAnsi="Palatino Linotype"/>
          <w:lang w:val="en-US"/>
        </w:rPr>
        <w:t>,9</w:t>
      </w:r>
      <w:proofErr w:type="gramEnd"/>
      <w:r w:rsidRPr="00026244">
        <w:rPr>
          <w:rFonts w:ascii="Palatino Linotype" w:hAnsi="Palatino Linotype"/>
          <w:lang w:val="en-US"/>
        </w:rPr>
        <w:t xml:space="preserve"> million TJS. </w:t>
      </w:r>
      <w:r w:rsidR="00346354" w:rsidRPr="00026244">
        <w:rPr>
          <w:rFonts w:ascii="Palatino Linotype" w:hAnsi="Palatino Linotype"/>
          <w:lang w:val="en-US"/>
        </w:rPr>
        <w:t xml:space="preserve">During the whole period of crediting, taking into account the repayment rate of resources to 12 218 clients were granted credits to the total sum </w:t>
      </w:r>
      <w:r w:rsidR="003306BA" w:rsidRPr="00026244">
        <w:rPr>
          <w:rFonts w:ascii="Palatino Linotype" w:hAnsi="Palatino Linotype"/>
          <w:lang w:val="en-US"/>
        </w:rPr>
        <w:t>of 58.3</w:t>
      </w:r>
      <w:r w:rsidR="00346354" w:rsidRPr="00026244">
        <w:rPr>
          <w:rFonts w:ascii="Palatino Linotype" w:hAnsi="Palatino Linotype"/>
          <w:lang w:val="en-US"/>
        </w:rPr>
        <w:t xml:space="preserve"> million TJS.  </w:t>
      </w:r>
      <w:r w:rsidRPr="00026244">
        <w:rPr>
          <w:rFonts w:ascii="Palatino Linotype" w:hAnsi="Palatino Linotype"/>
          <w:lang w:val="en-US"/>
        </w:rPr>
        <w:t>As of December 31, 2011 the remainder of loan debts on this resources amounts to 8</w:t>
      </w:r>
      <w:proofErr w:type="gramStart"/>
      <w:r w:rsidRPr="00026244">
        <w:rPr>
          <w:rFonts w:ascii="Palatino Linotype" w:hAnsi="Palatino Linotype"/>
          <w:lang w:val="en-US"/>
        </w:rPr>
        <w:t>,4</w:t>
      </w:r>
      <w:proofErr w:type="gramEnd"/>
      <w:r w:rsidRPr="00026244">
        <w:rPr>
          <w:rFonts w:ascii="Palatino Linotype" w:hAnsi="Palatino Linotype"/>
          <w:lang w:val="en-US"/>
        </w:rPr>
        <w:t xml:space="preserve"> million TJS. </w:t>
      </w:r>
    </w:p>
    <w:p w:rsidR="00FB5F40" w:rsidRPr="00026244" w:rsidRDefault="00FB5F40" w:rsidP="00766A11">
      <w:pPr>
        <w:spacing w:after="0" w:line="336" w:lineRule="auto"/>
        <w:ind w:firstLine="284"/>
        <w:jc w:val="both"/>
        <w:rPr>
          <w:rFonts w:ascii="Palatino Linotype" w:hAnsi="Palatino Linotype"/>
          <w:lang w:val="en-US"/>
        </w:rPr>
      </w:pPr>
      <w:r w:rsidRPr="00026244">
        <w:rPr>
          <w:rFonts w:ascii="Palatino Linotype" w:hAnsi="Palatino Linotype"/>
          <w:lang w:val="en-US"/>
        </w:rPr>
        <w:t xml:space="preserve">For implementing the State program on reduction of poverty level in the country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uses </w:t>
      </w:r>
      <w:proofErr w:type="spellStart"/>
      <w:r w:rsidRPr="00026244">
        <w:rPr>
          <w:rFonts w:ascii="Palatino Linotype" w:hAnsi="Palatino Linotype"/>
          <w:lang w:val="en-US"/>
        </w:rPr>
        <w:t>microcrediting</w:t>
      </w:r>
      <w:proofErr w:type="spellEnd"/>
      <w:r w:rsidRPr="00026244">
        <w:rPr>
          <w:rFonts w:ascii="Palatino Linotype" w:hAnsi="Palatino Linotype"/>
          <w:lang w:val="en-US"/>
        </w:rPr>
        <w:t xml:space="preserve">. </w:t>
      </w:r>
    </w:p>
    <w:p w:rsidR="00766A11" w:rsidRPr="00026244" w:rsidRDefault="00766A11" w:rsidP="00766A11">
      <w:pPr>
        <w:spacing w:after="0" w:line="336" w:lineRule="auto"/>
        <w:ind w:firstLine="284"/>
        <w:jc w:val="both"/>
        <w:rPr>
          <w:rFonts w:ascii="Palatino Linotype" w:hAnsi="Palatino Linotype"/>
          <w:lang w:val="en-US"/>
        </w:rPr>
      </w:pPr>
    </w:p>
    <w:p w:rsidR="00FB5F40" w:rsidRPr="00026244" w:rsidRDefault="00FB5F40" w:rsidP="00766A11">
      <w:pPr>
        <w:spacing w:after="0"/>
        <w:ind w:firstLine="284"/>
        <w:jc w:val="both"/>
        <w:rPr>
          <w:rFonts w:ascii="Palatino Linotype" w:hAnsi="Palatino Linotype"/>
          <w:lang w:val="en-US"/>
        </w:rPr>
      </w:pPr>
      <w:r w:rsidRPr="00026244">
        <w:rPr>
          <w:rFonts w:ascii="Palatino Linotype" w:hAnsi="Palatino Linotype"/>
          <w:lang w:val="en-US"/>
        </w:rPr>
        <w:t xml:space="preserve">During the reporting period the branches of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granted microcredits to 15 237 clients to the total sum of 120</w:t>
      </w:r>
      <w:proofErr w:type="gramStart"/>
      <w:r w:rsidR="00C91C01" w:rsidRPr="00026244">
        <w:rPr>
          <w:rFonts w:ascii="Palatino Linotype" w:hAnsi="Palatino Linotype"/>
          <w:lang w:val="en-US"/>
        </w:rPr>
        <w:t>,</w:t>
      </w:r>
      <w:r w:rsidRPr="00026244">
        <w:rPr>
          <w:rFonts w:ascii="Palatino Linotype" w:hAnsi="Palatino Linotype"/>
          <w:lang w:val="en-US"/>
        </w:rPr>
        <w:t>6</w:t>
      </w:r>
      <w:proofErr w:type="gramEnd"/>
      <w:r w:rsidRPr="00026244">
        <w:rPr>
          <w:rFonts w:ascii="Palatino Linotype" w:hAnsi="Palatino Linotype"/>
          <w:lang w:val="en-US"/>
        </w:rPr>
        <w:t xml:space="preserve"> million TJS which make up 56% of the total volume of granted credits. </w:t>
      </w:r>
    </w:p>
    <w:p w:rsidR="00FB5F40" w:rsidRPr="00026244" w:rsidRDefault="00662E5A" w:rsidP="00766A11">
      <w:pPr>
        <w:pStyle w:val="a3"/>
        <w:spacing w:after="0" w:line="336" w:lineRule="auto"/>
        <w:ind w:left="0" w:firstLine="284"/>
        <w:jc w:val="both"/>
        <w:rPr>
          <w:rFonts w:ascii="Palatino Linotype" w:hAnsi="Palatino Linotype"/>
          <w:lang w:val="en-US"/>
        </w:rPr>
      </w:pPr>
      <w:r w:rsidRPr="00026244">
        <w:rPr>
          <w:rFonts w:ascii="Palatino Linotype" w:hAnsi="Palatino Linotype"/>
          <w:lang w:val="en-US"/>
        </w:rPr>
        <w:t xml:space="preserve">In 2012 </w:t>
      </w:r>
      <w:proofErr w:type="spellStart"/>
      <w:r w:rsidRPr="00026244">
        <w:rPr>
          <w:rFonts w:ascii="Palatino Linotype" w:hAnsi="Palatino Linotype"/>
          <w:lang w:val="en-US"/>
        </w:rPr>
        <w:t>Amonatba</w:t>
      </w:r>
      <w:r w:rsidR="00FB5F40" w:rsidRPr="00026244">
        <w:rPr>
          <w:rFonts w:ascii="Palatino Linotype" w:hAnsi="Palatino Linotype"/>
          <w:lang w:val="en-US"/>
        </w:rPr>
        <w:t>nk</w:t>
      </w:r>
      <w:proofErr w:type="spellEnd"/>
      <w:r w:rsidR="00FB5F40" w:rsidRPr="00026244">
        <w:rPr>
          <w:rFonts w:ascii="Palatino Linotype" w:hAnsi="Palatino Linotype"/>
          <w:lang w:val="en-US"/>
        </w:rPr>
        <w:t xml:space="preserve"> plans to </w:t>
      </w:r>
      <w:proofErr w:type="gramStart"/>
      <w:r w:rsidR="00FB5F40" w:rsidRPr="00026244">
        <w:rPr>
          <w:rFonts w:ascii="Palatino Linotype" w:hAnsi="Palatino Linotype"/>
          <w:lang w:val="en-US"/>
        </w:rPr>
        <w:t>increase  the</w:t>
      </w:r>
      <w:proofErr w:type="gramEnd"/>
      <w:r w:rsidR="00FB5F40" w:rsidRPr="00026244">
        <w:rPr>
          <w:rFonts w:ascii="Palatino Linotype" w:hAnsi="Palatino Linotype"/>
          <w:lang w:val="en-US"/>
        </w:rPr>
        <w:t xml:space="preserve"> volume of its credit portfolio following the main principles of its credit policy: flexible build-up of portfolio, increasing its profitability and minimization of credit risks.</w:t>
      </w: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533655">
      <w:pPr>
        <w:spacing w:after="0"/>
        <w:ind w:firstLine="284"/>
        <w:jc w:val="both"/>
        <w:rPr>
          <w:rFonts w:ascii="Palatino Linotype" w:hAnsi="Palatino Linotype"/>
          <w:lang w:val="en-US"/>
        </w:rPr>
      </w:pPr>
    </w:p>
    <w:p w:rsidR="00FB5F40" w:rsidRPr="00026244" w:rsidRDefault="00FB5F40" w:rsidP="000A549C">
      <w:pPr>
        <w:spacing w:after="0"/>
        <w:ind w:firstLine="851"/>
        <w:rPr>
          <w:rFonts w:ascii="Palatino Linotype" w:hAnsi="Palatino Linotype"/>
          <w:b/>
          <w:color w:val="003300"/>
          <w:sz w:val="24"/>
          <w:szCs w:val="24"/>
          <w:lang w:val="en-US"/>
        </w:rPr>
        <w:sectPr w:rsidR="00FB5F40" w:rsidRPr="00026244" w:rsidSect="00EF010A">
          <w:type w:val="continuous"/>
          <w:pgSz w:w="11906" w:h="16838"/>
          <w:pgMar w:top="1134" w:right="850" w:bottom="1134" w:left="1134" w:header="708" w:footer="708" w:gutter="0"/>
          <w:cols w:num="2" w:space="566"/>
          <w:docGrid w:linePitch="360"/>
        </w:sectPr>
      </w:pPr>
    </w:p>
    <w:p w:rsidR="00FB5F40" w:rsidRPr="00026244" w:rsidRDefault="00FB5F40" w:rsidP="000A549C">
      <w:pPr>
        <w:spacing w:after="0"/>
        <w:rPr>
          <w:rFonts w:ascii="Palatino Linotype" w:hAnsi="Palatino Linotype"/>
          <w:b/>
          <w:color w:val="006600"/>
          <w:sz w:val="32"/>
          <w:szCs w:val="32"/>
        </w:rPr>
      </w:pPr>
      <w:r w:rsidRPr="00026244">
        <w:rPr>
          <w:rFonts w:ascii="Palatino Linotype" w:hAnsi="Palatino Linotype"/>
          <w:b/>
          <w:color w:val="006600"/>
          <w:sz w:val="32"/>
          <w:szCs w:val="32"/>
        </w:rPr>
        <w:lastRenderedPageBreak/>
        <w:t>УКРЕПЛЕНИЕ СОТРУДНИЧЕСТВА С МЕЖДУНАРОДНЫМИ ФИНАНСОВЫМИ ИНСТИТУТАМИ</w:t>
      </w:r>
    </w:p>
    <w:p w:rsidR="00FB5F40" w:rsidRPr="00026244" w:rsidRDefault="00FB5F40" w:rsidP="00825788">
      <w:pPr>
        <w:spacing w:after="0"/>
        <w:rPr>
          <w:rFonts w:ascii="Palatino Linotype" w:hAnsi="Palatino Linotype"/>
          <w:b/>
          <w:color w:val="8064A2"/>
          <w:sz w:val="32"/>
          <w:szCs w:val="32"/>
          <w:lang w:val="en-US"/>
        </w:rPr>
      </w:pPr>
      <w:r w:rsidRPr="00026244">
        <w:rPr>
          <w:rFonts w:ascii="Palatino Linotype" w:hAnsi="Palatino Linotype"/>
          <w:b/>
          <w:color w:val="8064A2"/>
          <w:sz w:val="32"/>
          <w:szCs w:val="32"/>
          <w:lang w:val="en-US"/>
        </w:rPr>
        <w:t>STRENGTHENING COOPERATION WITH INTERNATIONL FINANCIAL INSTITUTIONS</w:t>
      </w:r>
    </w:p>
    <w:p w:rsidR="00FB5F40" w:rsidRPr="00026244" w:rsidRDefault="00FB5F40" w:rsidP="000A549C">
      <w:pPr>
        <w:spacing w:after="0"/>
        <w:rPr>
          <w:rFonts w:ascii="Palatino Linotype" w:hAnsi="Palatino Linotype"/>
          <w:b/>
          <w:color w:val="006600"/>
          <w:sz w:val="32"/>
          <w:szCs w:val="32"/>
          <w:lang w:val="en-US"/>
        </w:rPr>
      </w:pPr>
    </w:p>
    <w:p w:rsidR="00FB5F40" w:rsidRPr="00026244" w:rsidRDefault="00FB5F40" w:rsidP="000A549C">
      <w:pPr>
        <w:spacing w:after="0"/>
        <w:ind w:firstLine="851"/>
        <w:jc w:val="both"/>
        <w:rPr>
          <w:rFonts w:ascii="Palatino Linotype" w:hAnsi="Palatino Linotype"/>
          <w:sz w:val="24"/>
          <w:szCs w:val="24"/>
          <w:lang w:val="en-US"/>
        </w:rPr>
        <w:sectPr w:rsidR="00FB5F40" w:rsidRPr="00026244" w:rsidSect="000A549C">
          <w:type w:val="continuous"/>
          <w:pgSz w:w="11906" w:h="16838"/>
          <w:pgMar w:top="1134" w:right="850" w:bottom="1134" w:left="1134" w:header="708" w:footer="708" w:gutter="0"/>
          <w:cols w:space="566"/>
          <w:docGrid w:linePitch="360"/>
        </w:sectPr>
      </w:pPr>
    </w:p>
    <w:p w:rsidR="00FB5F40" w:rsidRPr="00026244" w:rsidRDefault="00FB5F40" w:rsidP="000A549C">
      <w:pPr>
        <w:pStyle w:val="a3"/>
        <w:spacing w:after="0"/>
        <w:ind w:left="0" w:firstLine="720"/>
        <w:jc w:val="both"/>
        <w:rPr>
          <w:rFonts w:ascii="Palatino Linotype" w:hAnsi="Palatino Linotype"/>
        </w:rPr>
      </w:pPr>
      <w:r w:rsidRPr="00026244">
        <w:rPr>
          <w:rFonts w:ascii="Palatino Linotype" w:hAnsi="Palatino Linotype"/>
        </w:rPr>
        <w:lastRenderedPageBreak/>
        <w:t xml:space="preserve">Амонатбанк осуществляет плодотворную работу по сотрудничеству с международными финансовыми институтами такими как: Всемирный институт сберегательных банков, Государственный банк развития Китая, Европейский банк реконструкции и развития, Исламский банк развития, Азиатский банк развития, Евразийский банк развития  и др.   </w:t>
      </w:r>
    </w:p>
    <w:p w:rsidR="00FB5F40" w:rsidRPr="00026244" w:rsidRDefault="00FB5F40" w:rsidP="000A549C">
      <w:pPr>
        <w:pStyle w:val="a3"/>
        <w:spacing w:after="0"/>
        <w:ind w:left="0" w:firstLine="720"/>
        <w:jc w:val="both"/>
        <w:rPr>
          <w:rFonts w:ascii="Palatino Linotype" w:hAnsi="Palatino Linotype"/>
        </w:rPr>
      </w:pPr>
      <w:r w:rsidRPr="00026244">
        <w:rPr>
          <w:rFonts w:ascii="Palatino Linotype" w:hAnsi="Palatino Linotype"/>
        </w:rPr>
        <w:t xml:space="preserve">Результатами такого сотрудничества является подписание ряда кредитных соглашений на общую сумму эквивалентную  22 млн. долларов США. </w:t>
      </w:r>
    </w:p>
    <w:p w:rsidR="00FB5F40" w:rsidRPr="00026244" w:rsidRDefault="00FB5F40" w:rsidP="000A549C">
      <w:pPr>
        <w:pStyle w:val="a3"/>
        <w:spacing w:after="0"/>
        <w:ind w:left="0" w:firstLine="720"/>
        <w:jc w:val="both"/>
        <w:rPr>
          <w:rFonts w:ascii="Palatino Linotype" w:hAnsi="Palatino Linotype"/>
        </w:rPr>
      </w:pPr>
      <w:r w:rsidRPr="00026244">
        <w:rPr>
          <w:rFonts w:ascii="Palatino Linotype" w:hAnsi="Palatino Linotype"/>
        </w:rPr>
        <w:t>Особое плодотворное сотрудничество осуществляется с Государственным банком развития Китая в рамках МБО ШОС. В отчетном году реализованы 4 соглашения, 2 из которых в валюте - доллары США, предназначенные для содействия развития сельского хозяйства, а также малого и среднего бизнеса в республике, и 2 по финансированию импортных торговых сделок клиентов банка, осуществляющих закупку товаров непосредственно у Китайских поставщиков (торговое финансирование).</w:t>
      </w:r>
    </w:p>
    <w:p w:rsidR="00FB5F40" w:rsidRPr="00026244" w:rsidRDefault="00FB5F40" w:rsidP="000A549C">
      <w:pPr>
        <w:pStyle w:val="a3"/>
        <w:spacing w:after="0"/>
        <w:ind w:left="0" w:firstLine="720"/>
        <w:jc w:val="both"/>
        <w:rPr>
          <w:rFonts w:ascii="Palatino Linotype" w:hAnsi="Palatino Linotype"/>
        </w:rPr>
      </w:pPr>
      <w:r w:rsidRPr="00026244">
        <w:rPr>
          <w:rFonts w:ascii="Palatino Linotype" w:hAnsi="Palatino Linotype"/>
        </w:rPr>
        <w:t>В 2011 году в рамках МБО ШОС было проведено 3 важных заседания, в которых участвовали руководство и ответственные работники Банка.</w:t>
      </w:r>
    </w:p>
    <w:p w:rsidR="00FB5F40" w:rsidRPr="00026244" w:rsidRDefault="00FB5F40" w:rsidP="000A549C">
      <w:pPr>
        <w:pStyle w:val="a3"/>
        <w:spacing w:after="0"/>
        <w:ind w:left="0" w:firstLine="720"/>
        <w:jc w:val="both"/>
        <w:rPr>
          <w:rFonts w:ascii="Palatino Linotype" w:hAnsi="Palatino Linotype"/>
        </w:rPr>
      </w:pPr>
      <w:r w:rsidRPr="00026244">
        <w:rPr>
          <w:rFonts w:ascii="Palatino Linotype" w:hAnsi="Palatino Linotype"/>
        </w:rPr>
        <w:t>В связи с рабочим планом МБО ШОС, в июне 2011 году в столице Республики Казахстан г. Астана было проведено очередное VII заседание МБО ШОС.</w:t>
      </w:r>
    </w:p>
    <w:p w:rsidR="00FB5F40" w:rsidRPr="00026244" w:rsidRDefault="00FB5F40" w:rsidP="00766A11">
      <w:pPr>
        <w:pStyle w:val="a3"/>
        <w:spacing w:after="0" w:line="324" w:lineRule="auto"/>
        <w:ind w:left="0" w:firstLine="284"/>
        <w:jc w:val="both"/>
        <w:rPr>
          <w:rFonts w:ascii="Palatino Linotype" w:hAnsi="Palatino Linotype"/>
          <w:lang w:val="en-US"/>
        </w:rPr>
      </w:pPr>
      <w:proofErr w:type="spellStart"/>
      <w:r w:rsidRPr="00026244">
        <w:rPr>
          <w:rFonts w:ascii="Palatino Linotype" w:hAnsi="Palatino Linotype"/>
          <w:lang w:val="en-US"/>
        </w:rPr>
        <w:lastRenderedPageBreak/>
        <w:t>Amona</w:t>
      </w:r>
      <w:r w:rsidR="003306BA" w:rsidRPr="00026244">
        <w:rPr>
          <w:rFonts w:ascii="Palatino Linotype" w:hAnsi="Palatino Linotype"/>
          <w:lang w:val="en-US"/>
        </w:rPr>
        <w:t>t</w:t>
      </w:r>
      <w:r w:rsidRPr="00026244">
        <w:rPr>
          <w:rFonts w:ascii="Palatino Linotype" w:hAnsi="Palatino Linotype"/>
          <w:lang w:val="en-US"/>
        </w:rPr>
        <w: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continues its fruitful cooperation with International Financial Institutions, such as:</w:t>
      </w:r>
      <w:r w:rsidR="003306BA" w:rsidRPr="00026244">
        <w:rPr>
          <w:rFonts w:ascii="Palatino Linotype" w:hAnsi="Palatino Linotype"/>
          <w:lang w:val="en-US"/>
        </w:rPr>
        <w:t xml:space="preserve"> </w:t>
      </w:r>
      <w:r w:rsidRPr="00026244">
        <w:rPr>
          <w:rFonts w:ascii="Palatino Linotype" w:hAnsi="Palatino Linotype"/>
          <w:lang w:val="en-US"/>
        </w:rPr>
        <w:t xml:space="preserve">World Savings Banks Institute (WSBI), China Development Bank (CDB), </w:t>
      </w:r>
      <w:proofErr w:type="gramStart"/>
      <w:r w:rsidRPr="00026244">
        <w:rPr>
          <w:rFonts w:ascii="Palatino Linotype" w:hAnsi="Palatino Linotype"/>
          <w:lang w:val="en-US"/>
        </w:rPr>
        <w:t>European</w:t>
      </w:r>
      <w:proofErr w:type="gramEnd"/>
      <w:r w:rsidRPr="00026244">
        <w:rPr>
          <w:rFonts w:ascii="Palatino Linotype" w:hAnsi="Palatino Linotype"/>
          <w:lang w:val="en-US"/>
        </w:rPr>
        <w:t xml:space="preserve"> Bank </w:t>
      </w:r>
      <w:proofErr w:type="spellStart"/>
      <w:r w:rsidRPr="00026244">
        <w:rPr>
          <w:rFonts w:ascii="Palatino Linotype" w:hAnsi="Palatino Linotype"/>
          <w:lang w:val="en-US"/>
        </w:rPr>
        <w:t>fro</w:t>
      </w:r>
      <w:proofErr w:type="spellEnd"/>
      <w:r w:rsidRPr="00026244">
        <w:rPr>
          <w:rFonts w:ascii="Palatino Linotype" w:hAnsi="Palatino Linotype"/>
          <w:lang w:val="en-US"/>
        </w:rPr>
        <w:t xml:space="preserve"> reconstruction and Development (EBRD), Islamic Development Bank (IDB), Asian Development Bank (ADB), Eurasian Development Bank and etc.   </w:t>
      </w:r>
    </w:p>
    <w:p w:rsidR="00FB5F40" w:rsidRPr="00026244" w:rsidRDefault="00FB5F40" w:rsidP="00766A11">
      <w:pPr>
        <w:pStyle w:val="a3"/>
        <w:spacing w:after="0" w:line="324" w:lineRule="auto"/>
        <w:ind w:left="0" w:firstLine="284"/>
        <w:jc w:val="both"/>
        <w:rPr>
          <w:rFonts w:ascii="Palatino Linotype" w:hAnsi="Palatino Linotype"/>
          <w:lang w:val="en-US"/>
        </w:rPr>
      </w:pPr>
      <w:r w:rsidRPr="00026244">
        <w:rPr>
          <w:rFonts w:ascii="Palatino Linotype" w:hAnsi="Palatino Linotype"/>
          <w:lang w:val="en-US"/>
        </w:rPr>
        <w:t xml:space="preserve">As a result of this cooperation a number of Agreements were signed to the total sum equal to 22 million USD. </w:t>
      </w:r>
    </w:p>
    <w:p w:rsidR="00FB5F40" w:rsidRPr="00026244" w:rsidRDefault="00FB5F40" w:rsidP="00766A11">
      <w:pPr>
        <w:pStyle w:val="a3"/>
        <w:spacing w:after="0" w:line="324" w:lineRule="auto"/>
        <w:ind w:left="0" w:firstLine="284"/>
        <w:jc w:val="both"/>
        <w:rPr>
          <w:rFonts w:ascii="Palatino Linotype" w:hAnsi="Palatino Linotype"/>
          <w:lang w:val="en-US"/>
        </w:rPr>
      </w:pPr>
      <w:r w:rsidRPr="00026244">
        <w:rPr>
          <w:rFonts w:ascii="Palatino Linotype" w:hAnsi="Palatino Linotype"/>
          <w:lang w:val="en-US"/>
        </w:rPr>
        <w:t>Special fruitful cooperation it has with China Development Bank within the framework of Inter-Bank Consortium of Shanghai Cooperation Organization (IBC SCO). During the reporting year 4 Agreements are realized, two of which were in USD aimed at development of agriculture and SME in the country and two others were meant for financing import trade deals of the clients of the bank that purchase goods directly from Chinese suppliers (Trade Finance).</w:t>
      </w:r>
    </w:p>
    <w:p w:rsidR="00FB5F40" w:rsidRPr="00026244" w:rsidRDefault="00FB5F40" w:rsidP="00766A11">
      <w:pPr>
        <w:pStyle w:val="a3"/>
        <w:spacing w:after="0" w:line="324" w:lineRule="auto"/>
        <w:ind w:left="0" w:firstLine="284"/>
        <w:jc w:val="both"/>
        <w:rPr>
          <w:rFonts w:ascii="Palatino Linotype" w:hAnsi="Palatino Linotype"/>
          <w:lang w:val="en-US"/>
        </w:rPr>
      </w:pPr>
      <w:r w:rsidRPr="00026244">
        <w:rPr>
          <w:rFonts w:ascii="Palatino Linotype" w:hAnsi="Palatino Linotype"/>
          <w:lang w:val="en-US"/>
        </w:rPr>
        <w:t>In 2011 within the framework of IBC SCO were held three important meetings where the management and appropriate staff members of the bank took part.</w:t>
      </w:r>
    </w:p>
    <w:p w:rsidR="00FB5F40" w:rsidRPr="00026244" w:rsidRDefault="00FB5F40" w:rsidP="00766A11">
      <w:pPr>
        <w:pStyle w:val="a3"/>
        <w:spacing w:after="0" w:line="324" w:lineRule="auto"/>
        <w:ind w:left="0" w:firstLine="284"/>
        <w:jc w:val="both"/>
        <w:rPr>
          <w:rFonts w:ascii="Palatino Linotype" w:hAnsi="Palatino Linotype"/>
          <w:lang w:val="en-US"/>
        </w:rPr>
      </w:pPr>
      <w:r w:rsidRPr="00026244">
        <w:rPr>
          <w:rFonts w:ascii="Palatino Linotype" w:hAnsi="Palatino Linotype"/>
          <w:lang w:val="en-US"/>
        </w:rPr>
        <w:t>In accordance with the working plan of IBC SCO</w:t>
      </w:r>
      <w:r w:rsidRPr="00026244">
        <w:rPr>
          <w:rFonts w:ascii="Palatino Linotype" w:hAnsi="Palatino Linotype"/>
        </w:rPr>
        <w:t>В</w:t>
      </w:r>
      <w:r w:rsidRPr="00026244">
        <w:rPr>
          <w:rFonts w:ascii="Palatino Linotype" w:hAnsi="Palatino Linotype"/>
          <w:lang w:val="en-US"/>
        </w:rPr>
        <w:t xml:space="preserve"> in June 2011 in Astana of Republic of Kazakhstan took place the VII meeting of IBC SCO.</w:t>
      </w:r>
    </w:p>
    <w:p w:rsidR="00FB5F40" w:rsidRPr="00026244" w:rsidRDefault="00FB5F40" w:rsidP="00825788">
      <w:pPr>
        <w:pStyle w:val="a3"/>
        <w:spacing w:after="0"/>
        <w:ind w:left="0" w:firstLine="284"/>
        <w:jc w:val="both"/>
        <w:rPr>
          <w:rFonts w:ascii="Palatino Linotype" w:hAnsi="Palatino Linotype"/>
        </w:rPr>
      </w:pPr>
      <w:r w:rsidRPr="00026244">
        <w:rPr>
          <w:rFonts w:ascii="Palatino Linotype" w:hAnsi="Palatino Linotype"/>
        </w:rPr>
        <w:lastRenderedPageBreak/>
        <w:t>В ходе проведения данного заседания  были обсуждены вопросы по укреплению и</w:t>
      </w:r>
    </w:p>
    <w:p w:rsidR="00FB5F40" w:rsidRPr="00026244" w:rsidRDefault="00FB5F40" w:rsidP="00825788">
      <w:pPr>
        <w:pStyle w:val="a3"/>
        <w:spacing w:after="0"/>
        <w:ind w:left="0" w:firstLine="284"/>
        <w:jc w:val="both"/>
        <w:rPr>
          <w:rFonts w:ascii="Palatino Linotype" w:hAnsi="Palatino Linotype"/>
        </w:rPr>
      </w:pPr>
      <w:r w:rsidRPr="00026244">
        <w:rPr>
          <w:rFonts w:ascii="Palatino Linotype" w:hAnsi="Palatino Linotype"/>
        </w:rPr>
        <w:t xml:space="preserve">расширению торгово-экономических отношений и расширению сферы инвестирования в рамках МБО ШОС.  </w:t>
      </w:r>
    </w:p>
    <w:p w:rsidR="00FB5F40" w:rsidRPr="00026244" w:rsidRDefault="00FB5F40" w:rsidP="00766A11">
      <w:pPr>
        <w:pStyle w:val="a3"/>
        <w:spacing w:after="0" w:line="240" w:lineRule="auto"/>
        <w:ind w:left="0" w:firstLine="284"/>
        <w:jc w:val="both"/>
        <w:rPr>
          <w:rFonts w:ascii="Palatino Linotype" w:hAnsi="Palatino Linotype"/>
        </w:rPr>
      </w:pPr>
      <w:r w:rsidRPr="00026244">
        <w:rPr>
          <w:rFonts w:ascii="Palatino Linotype" w:hAnsi="Palatino Linotype"/>
        </w:rPr>
        <w:t>В сентябре 20</w:t>
      </w:r>
      <w:r w:rsidR="003306BA" w:rsidRPr="00026244">
        <w:rPr>
          <w:rFonts w:ascii="Palatino Linotype" w:hAnsi="Palatino Linotype"/>
        </w:rPr>
        <w:t>1</w:t>
      </w:r>
      <w:r w:rsidRPr="00026244">
        <w:rPr>
          <w:rFonts w:ascii="Palatino Linotype" w:hAnsi="Palatino Linotype"/>
        </w:rPr>
        <w:t xml:space="preserve">1 года руководство Амонатбанка участвовало на Евразийском экономическом форуме, который проходил в г. </w:t>
      </w:r>
      <w:proofErr w:type="spellStart"/>
      <w:r w:rsidRPr="00026244">
        <w:rPr>
          <w:rFonts w:ascii="Palatino Linotype" w:hAnsi="Palatino Linotype"/>
        </w:rPr>
        <w:t>Сиан</w:t>
      </w:r>
      <w:proofErr w:type="spellEnd"/>
      <w:r w:rsidRPr="00026244">
        <w:rPr>
          <w:rFonts w:ascii="Palatino Linotype" w:hAnsi="Palatino Linotype"/>
        </w:rPr>
        <w:t xml:space="preserve"> КНР, и во время данного Форума была проведена двусторонняя встреча с Руководством ГБРК.</w:t>
      </w:r>
    </w:p>
    <w:p w:rsidR="00FB5F40" w:rsidRPr="00026244" w:rsidRDefault="00FB5F40" w:rsidP="00825788">
      <w:pPr>
        <w:pStyle w:val="a3"/>
        <w:spacing w:after="0"/>
        <w:ind w:left="0" w:firstLine="284"/>
        <w:jc w:val="both"/>
        <w:rPr>
          <w:rFonts w:ascii="Palatino Linotype" w:hAnsi="Palatino Linotype"/>
        </w:rPr>
      </w:pPr>
      <w:r w:rsidRPr="00026244">
        <w:rPr>
          <w:rFonts w:ascii="Palatino Linotype" w:hAnsi="Palatino Linotype"/>
        </w:rPr>
        <w:t>Необходимо подчеркнуть, что по инициативе Руководства ГСБ РТ «</w:t>
      </w:r>
      <w:proofErr w:type="spellStart"/>
      <w:r w:rsidRPr="00026244">
        <w:rPr>
          <w:rFonts w:ascii="Palatino Linotype" w:hAnsi="Palatino Linotype"/>
        </w:rPr>
        <w:t>Амонатбонк</w:t>
      </w:r>
      <w:proofErr w:type="spellEnd"/>
      <w:r w:rsidRPr="00026244">
        <w:rPr>
          <w:rFonts w:ascii="Palatino Linotype" w:hAnsi="Palatino Linotype"/>
        </w:rPr>
        <w:t>» и ГБРК в декабре 2011 года в г. Пекин КНР был организован Семинар на тему «Финансовая сотрудничество», где участвовали сотрудники банков двух государств.</w:t>
      </w:r>
    </w:p>
    <w:p w:rsidR="00FB5F40" w:rsidRPr="00026244" w:rsidRDefault="00FB5F40" w:rsidP="00825788">
      <w:pPr>
        <w:pStyle w:val="a3"/>
        <w:spacing w:after="0"/>
        <w:ind w:left="0" w:firstLine="284"/>
        <w:jc w:val="both"/>
        <w:rPr>
          <w:rFonts w:ascii="Palatino Linotype" w:hAnsi="Palatino Linotype"/>
        </w:rPr>
      </w:pPr>
      <w:r w:rsidRPr="00026244">
        <w:rPr>
          <w:rFonts w:ascii="Palatino Linotype" w:hAnsi="Palatino Linotype"/>
        </w:rPr>
        <w:t xml:space="preserve">Исламский банк развития осуществляет финансирование </w:t>
      </w:r>
      <w:proofErr w:type="spellStart"/>
      <w:r w:rsidRPr="00026244">
        <w:rPr>
          <w:rFonts w:ascii="Palatino Linotype" w:hAnsi="Palatino Linotype"/>
        </w:rPr>
        <w:t>микрофинансовых</w:t>
      </w:r>
      <w:proofErr w:type="spellEnd"/>
      <w:r w:rsidRPr="00026244">
        <w:rPr>
          <w:rFonts w:ascii="Palatino Linotype" w:hAnsi="Palatino Linotype"/>
        </w:rPr>
        <w:t xml:space="preserve"> проектов в Таджикистане с оказанием технической помощи в виде гранта. Средства предназначены для достижения экономического роста и смягчения бедности, предоставляя и увеличивая доступ бедного населения сельской местности и городов, особенно женщин к надежным и возможным </w:t>
      </w:r>
      <w:proofErr w:type="spellStart"/>
      <w:r w:rsidRPr="00026244">
        <w:rPr>
          <w:rFonts w:ascii="Palatino Linotype" w:hAnsi="Palatino Linotype"/>
        </w:rPr>
        <w:t>микрофинансовым</w:t>
      </w:r>
      <w:proofErr w:type="spellEnd"/>
      <w:r w:rsidRPr="00026244">
        <w:rPr>
          <w:rFonts w:ascii="Palatino Linotype" w:hAnsi="Palatino Linotype"/>
        </w:rPr>
        <w:t xml:space="preserve"> услугам. </w:t>
      </w:r>
    </w:p>
    <w:p w:rsidR="00FB5F40" w:rsidRPr="00026244" w:rsidRDefault="00FB5F40" w:rsidP="00825788">
      <w:pPr>
        <w:pStyle w:val="a3"/>
        <w:spacing w:after="0"/>
        <w:ind w:left="0" w:firstLine="284"/>
        <w:jc w:val="both"/>
        <w:rPr>
          <w:rFonts w:ascii="Palatino Linotype" w:hAnsi="Palatino Linotype"/>
        </w:rPr>
      </w:pPr>
      <w:r w:rsidRPr="00026244">
        <w:rPr>
          <w:rFonts w:ascii="Palatino Linotype" w:hAnsi="Palatino Linotype"/>
        </w:rPr>
        <w:t xml:space="preserve">Кроме подписанных кредитных соглашений,  Исламским банком развития был предоставлен  грант на сумму 405,9 тыс.  долларов США, на которые Амонатбанк приобрел необходимую технику и оборудования, а также провел тренинги по исламскому банкингу.   </w:t>
      </w:r>
    </w:p>
    <w:p w:rsidR="00766A11" w:rsidRPr="00026244" w:rsidRDefault="00FB5F40" w:rsidP="00766A11">
      <w:pPr>
        <w:spacing w:after="0" w:line="240" w:lineRule="auto"/>
        <w:ind w:firstLine="284"/>
        <w:jc w:val="both"/>
        <w:rPr>
          <w:rFonts w:ascii="Palatino Linotype" w:hAnsi="Palatino Linotype"/>
        </w:rPr>
      </w:pPr>
      <w:r w:rsidRPr="00026244">
        <w:rPr>
          <w:rFonts w:ascii="Palatino Linotype" w:hAnsi="Palatino Linotype"/>
        </w:rPr>
        <w:t xml:space="preserve">Сотрудничество с Европейским банком реконструкции и развития  представляет собой  Программу «оказания финансовой помощи сельскому хозяйству </w:t>
      </w:r>
      <w:r w:rsidR="00766A11" w:rsidRPr="00026244">
        <w:rPr>
          <w:rFonts w:ascii="Palatino Linotype" w:hAnsi="Palatino Linotype"/>
        </w:rPr>
        <w:t xml:space="preserve">Таджикистана </w:t>
      </w:r>
    </w:p>
    <w:p w:rsidR="00FB5F40" w:rsidRPr="00026244" w:rsidRDefault="00FB5F40" w:rsidP="00825788">
      <w:pPr>
        <w:pStyle w:val="a3"/>
        <w:spacing w:after="0"/>
        <w:ind w:left="0" w:firstLine="284"/>
        <w:jc w:val="both"/>
        <w:rPr>
          <w:rFonts w:ascii="Palatino Linotype" w:hAnsi="Palatino Linotype"/>
          <w:lang w:val="en-US"/>
        </w:rPr>
      </w:pPr>
      <w:r w:rsidRPr="00026244">
        <w:rPr>
          <w:rFonts w:ascii="Palatino Linotype" w:hAnsi="Palatino Linotype"/>
          <w:lang w:val="en-US"/>
        </w:rPr>
        <w:lastRenderedPageBreak/>
        <w:t xml:space="preserve">In the course of the meeting there were discussed the issues on strengthening and expansion of trade and economic relations and investments within the bounds of IBC SCO.  </w:t>
      </w:r>
    </w:p>
    <w:p w:rsidR="00FB5F40" w:rsidRPr="00026244" w:rsidRDefault="00FB5F40" w:rsidP="00825788">
      <w:pPr>
        <w:pStyle w:val="a3"/>
        <w:spacing w:after="0"/>
        <w:ind w:left="0" w:firstLine="284"/>
        <w:jc w:val="both"/>
        <w:rPr>
          <w:rFonts w:ascii="Palatino Linotype" w:hAnsi="Palatino Linotype"/>
          <w:lang w:val="en-US"/>
        </w:rPr>
      </w:pPr>
      <w:r w:rsidRPr="00026244">
        <w:rPr>
          <w:rFonts w:ascii="Palatino Linotype" w:hAnsi="Palatino Linotype"/>
          <w:lang w:val="en-US"/>
        </w:rPr>
        <w:t xml:space="preserve">In September </w:t>
      </w:r>
      <w:r w:rsidR="003306BA" w:rsidRPr="00026244">
        <w:rPr>
          <w:rFonts w:ascii="Palatino Linotype" w:hAnsi="Palatino Linotype"/>
          <w:lang w:val="en-US"/>
        </w:rPr>
        <w:t>2011</w:t>
      </w:r>
      <w:r w:rsidRPr="00026244">
        <w:rPr>
          <w:rFonts w:ascii="Palatino Linotype" w:hAnsi="Palatino Linotype"/>
          <w:lang w:val="en-US"/>
        </w:rPr>
        <w:t xml:space="preserve"> the Management of the Bank took part in the work of Eurasians economic forum in Xian of China and during this Forum a bilateral meeting with the </w:t>
      </w:r>
      <w:proofErr w:type="spellStart"/>
      <w:r w:rsidRPr="00026244">
        <w:rPr>
          <w:rFonts w:ascii="Palatino Linotype" w:hAnsi="Palatino Linotype"/>
          <w:lang w:val="en-US"/>
        </w:rPr>
        <w:t>Mangement</w:t>
      </w:r>
      <w:proofErr w:type="spellEnd"/>
      <w:r w:rsidRPr="00026244">
        <w:rPr>
          <w:rFonts w:ascii="Palatino Linotype" w:hAnsi="Palatino Linotype"/>
          <w:lang w:val="en-US"/>
        </w:rPr>
        <w:t xml:space="preserve"> of CDB was held.</w:t>
      </w:r>
    </w:p>
    <w:p w:rsidR="00FB5F40" w:rsidRPr="00026244" w:rsidRDefault="00FB5F40" w:rsidP="00825788">
      <w:pPr>
        <w:pStyle w:val="a3"/>
        <w:spacing w:after="0"/>
        <w:ind w:left="0" w:firstLine="284"/>
        <w:jc w:val="both"/>
        <w:rPr>
          <w:rFonts w:ascii="Palatino Linotype" w:hAnsi="Palatino Linotype"/>
          <w:lang w:val="en-US"/>
        </w:rPr>
      </w:pPr>
      <w:r w:rsidRPr="00026244">
        <w:rPr>
          <w:rFonts w:ascii="Palatino Linotype" w:hAnsi="Palatino Linotype"/>
          <w:lang w:val="en-US"/>
        </w:rPr>
        <w:t xml:space="preserve">It should be noted that on initiative of </w:t>
      </w:r>
      <w:proofErr w:type="spellStart"/>
      <w:r w:rsidRPr="00026244">
        <w:rPr>
          <w:rFonts w:ascii="Palatino Linotype" w:hAnsi="Palatino Linotype"/>
          <w:lang w:val="en-US"/>
        </w:rPr>
        <w:t>Amontab</w:t>
      </w:r>
      <w:r w:rsidR="00662E5A" w:rsidRPr="00026244">
        <w:rPr>
          <w:rFonts w:ascii="Palatino Linotype" w:hAnsi="Palatino Linotype"/>
          <w:lang w:val="en-US"/>
        </w:rPr>
        <w:t>a</w:t>
      </w:r>
      <w:r w:rsidRPr="00026244">
        <w:rPr>
          <w:rFonts w:ascii="Palatino Linotype" w:hAnsi="Palatino Linotype"/>
          <w:lang w:val="en-US"/>
        </w:rPr>
        <w:t>nk’s</w:t>
      </w:r>
      <w:proofErr w:type="spellEnd"/>
      <w:r w:rsidRPr="00026244">
        <w:rPr>
          <w:rFonts w:ascii="Palatino Linotype" w:hAnsi="Palatino Linotype"/>
          <w:lang w:val="en-US"/>
        </w:rPr>
        <w:t xml:space="preserve"> and CDB administrations in December 2011 in Beijing China was organized seminar on “Financial cooperation” where the staff members of two State banks took part.</w:t>
      </w:r>
    </w:p>
    <w:p w:rsidR="00FB5F40" w:rsidRPr="00026244" w:rsidRDefault="00FB5F40" w:rsidP="00825788">
      <w:pPr>
        <w:pStyle w:val="a3"/>
        <w:spacing w:after="0"/>
        <w:ind w:left="0" w:firstLine="284"/>
        <w:jc w:val="both"/>
        <w:rPr>
          <w:rFonts w:ascii="Palatino Linotype" w:hAnsi="Palatino Linotype"/>
          <w:lang w:val="en-US"/>
        </w:rPr>
      </w:pPr>
      <w:r w:rsidRPr="00026244">
        <w:rPr>
          <w:rFonts w:ascii="Palatino Linotype" w:hAnsi="Palatino Linotype"/>
          <w:lang w:val="en-US"/>
        </w:rPr>
        <w:t>Islamic Development Bank invests into microfinance projects in Tajikistan and gives TA Grants to the Bank. These funds are aimed at achieving economic growth and mitigation of poverty level by offering and giving access to reliable and possible microfinance services to the poor part of the population. These resources are being given by the branches of the Bank locally.</w:t>
      </w:r>
    </w:p>
    <w:p w:rsidR="00FB5F40" w:rsidRPr="00026244" w:rsidRDefault="00FB5F40" w:rsidP="00825788">
      <w:pPr>
        <w:pStyle w:val="a3"/>
        <w:spacing w:after="0"/>
        <w:ind w:left="0" w:firstLine="284"/>
        <w:jc w:val="both"/>
        <w:rPr>
          <w:rFonts w:ascii="Palatino Linotype" w:hAnsi="Palatino Linotype"/>
          <w:lang w:val="en-US"/>
        </w:rPr>
      </w:pPr>
      <w:r w:rsidRPr="00026244">
        <w:rPr>
          <w:rFonts w:ascii="Palatino Linotype" w:hAnsi="Palatino Linotype"/>
          <w:lang w:val="en-US"/>
        </w:rPr>
        <w:t>Besides the signed Agreements IDB allocated Grant to the sum of 405</w:t>
      </w:r>
      <w:proofErr w:type="gramStart"/>
      <w:r w:rsidR="007B6615" w:rsidRPr="00026244">
        <w:rPr>
          <w:rFonts w:ascii="Palatino Linotype" w:hAnsi="Palatino Linotype"/>
          <w:lang w:val="en-US"/>
        </w:rPr>
        <w:t>,</w:t>
      </w:r>
      <w:r w:rsidRPr="00026244">
        <w:rPr>
          <w:rFonts w:ascii="Palatino Linotype" w:hAnsi="Palatino Linotype"/>
          <w:lang w:val="en-US"/>
        </w:rPr>
        <w:t>9</w:t>
      </w:r>
      <w:proofErr w:type="gramEnd"/>
      <w:r w:rsidRPr="00026244">
        <w:rPr>
          <w:rFonts w:ascii="Palatino Linotype" w:hAnsi="Palatino Linotype"/>
          <w:lang w:val="en-US"/>
        </w:rPr>
        <w:t xml:space="preserve"> thousand USD which </w:t>
      </w:r>
      <w:proofErr w:type="spellStart"/>
      <w:r w:rsidRPr="00026244">
        <w:rPr>
          <w:rFonts w:ascii="Palatino Linotype" w:hAnsi="Palatino Linotype"/>
          <w:lang w:val="en-US"/>
        </w:rPr>
        <w:t>Amonab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used for acquisition of necessary technology and equipment, and conducted training on Islamic Banking.   </w:t>
      </w:r>
    </w:p>
    <w:p w:rsidR="00FB5F40" w:rsidRPr="00026244" w:rsidRDefault="00FB5F40" w:rsidP="00825788">
      <w:pPr>
        <w:pStyle w:val="a3"/>
        <w:spacing w:after="0"/>
        <w:ind w:left="0" w:firstLine="284"/>
        <w:jc w:val="both"/>
        <w:rPr>
          <w:rFonts w:ascii="Palatino Linotype" w:hAnsi="Palatino Linotype"/>
        </w:rPr>
      </w:pPr>
      <w:r w:rsidRPr="00026244">
        <w:rPr>
          <w:rFonts w:ascii="Palatino Linotype" w:hAnsi="Palatino Linotype"/>
          <w:lang w:val="en-US"/>
        </w:rPr>
        <w:t>Cooperation with European Bank of Reconstruction and Development includes Tajik Agriculture Financial Facilities (TAFF) Program. These</w:t>
      </w:r>
      <w:r w:rsidRPr="00026244">
        <w:rPr>
          <w:rFonts w:ascii="Palatino Linotype" w:hAnsi="Palatino Linotype"/>
        </w:rPr>
        <w:t xml:space="preserve"> </w:t>
      </w:r>
      <w:r w:rsidRPr="00026244">
        <w:rPr>
          <w:rFonts w:ascii="Palatino Linotype" w:hAnsi="Palatino Linotype"/>
          <w:lang w:val="en-US"/>
        </w:rPr>
        <w:t>facilities</w:t>
      </w:r>
      <w:r w:rsidRPr="00026244">
        <w:rPr>
          <w:rFonts w:ascii="Palatino Linotype" w:hAnsi="Palatino Linotype"/>
        </w:rPr>
        <w:t xml:space="preserve"> </w:t>
      </w:r>
      <w:r w:rsidRPr="00026244">
        <w:rPr>
          <w:rFonts w:ascii="Palatino Linotype" w:hAnsi="Palatino Linotype"/>
          <w:lang w:val="en-US"/>
        </w:rPr>
        <w:t>are</w:t>
      </w:r>
      <w:r w:rsidRPr="00026244">
        <w:rPr>
          <w:rFonts w:ascii="Palatino Linotype" w:hAnsi="Palatino Linotype"/>
        </w:rPr>
        <w:t xml:space="preserve"> </w:t>
      </w:r>
      <w:r w:rsidRPr="00026244">
        <w:rPr>
          <w:rFonts w:ascii="Palatino Linotype" w:hAnsi="Palatino Linotype"/>
          <w:lang w:val="en-US"/>
        </w:rPr>
        <w:t>aimed</w:t>
      </w:r>
      <w:r w:rsidRPr="00026244">
        <w:rPr>
          <w:rFonts w:ascii="Palatino Linotype" w:hAnsi="Palatino Linotype"/>
        </w:rPr>
        <w:t xml:space="preserve"> </w:t>
      </w:r>
      <w:r w:rsidRPr="00026244">
        <w:rPr>
          <w:rFonts w:ascii="Palatino Linotype" w:hAnsi="Palatino Linotype"/>
          <w:lang w:val="en-US"/>
        </w:rPr>
        <w:t>at</w:t>
      </w:r>
      <w:r w:rsidRPr="00026244">
        <w:rPr>
          <w:rFonts w:ascii="Palatino Linotype" w:hAnsi="Palatino Linotype"/>
        </w:rPr>
        <w:t xml:space="preserve"> </w:t>
      </w:r>
      <w:r w:rsidRPr="00026244">
        <w:rPr>
          <w:rFonts w:ascii="Palatino Linotype" w:hAnsi="Palatino Linotype"/>
          <w:lang w:val="en-US"/>
        </w:rPr>
        <w:t>agricultural</w:t>
      </w:r>
      <w:r w:rsidRPr="00026244">
        <w:rPr>
          <w:rFonts w:ascii="Palatino Linotype" w:hAnsi="Palatino Linotype"/>
        </w:rPr>
        <w:t xml:space="preserve"> </w:t>
      </w:r>
      <w:r w:rsidRPr="00026244">
        <w:rPr>
          <w:rFonts w:ascii="Palatino Linotype" w:hAnsi="Palatino Linotype"/>
          <w:lang w:val="en-US"/>
        </w:rPr>
        <w:t>projects</w:t>
      </w:r>
      <w:r w:rsidRPr="00026244">
        <w:rPr>
          <w:rFonts w:ascii="Palatino Linotype" w:hAnsi="Palatino Linotype"/>
        </w:rPr>
        <w:t>.</w:t>
      </w: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FB5F40" w:rsidRPr="00026244" w:rsidRDefault="00FB5F40" w:rsidP="00533655">
      <w:pPr>
        <w:spacing w:after="0"/>
        <w:ind w:firstLine="284"/>
        <w:jc w:val="both"/>
        <w:rPr>
          <w:rFonts w:ascii="Palatino Linotype" w:hAnsi="Palatino Linotype"/>
        </w:rPr>
      </w:pPr>
    </w:p>
    <w:p w:rsidR="00766A11" w:rsidRPr="00026244" w:rsidRDefault="00766A11" w:rsidP="001F678E">
      <w:pPr>
        <w:spacing w:line="360" w:lineRule="auto"/>
        <w:jc w:val="center"/>
        <w:rPr>
          <w:rFonts w:ascii="Palatino Linotype" w:hAnsi="Palatino Linotype"/>
          <w:b/>
          <w:color w:val="006600"/>
          <w:spacing w:val="-8"/>
          <w:sz w:val="28"/>
          <w:szCs w:val="28"/>
        </w:rPr>
        <w:sectPr w:rsidR="00766A11" w:rsidRPr="00026244" w:rsidSect="00EF010A">
          <w:type w:val="continuous"/>
          <w:pgSz w:w="11906" w:h="16838"/>
          <w:pgMar w:top="1134" w:right="850" w:bottom="1134" w:left="1134" w:header="708" w:footer="708" w:gutter="0"/>
          <w:cols w:num="2" w:space="566"/>
          <w:docGrid w:linePitch="360"/>
        </w:sectPr>
      </w:pPr>
    </w:p>
    <w:p w:rsidR="00766A11" w:rsidRPr="00026244" w:rsidRDefault="00766A11" w:rsidP="00766A11">
      <w:pPr>
        <w:spacing w:after="0"/>
        <w:jc w:val="both"/>
        <w:rPr>
          <w:rFonts w:ascii="Palatino Linotype" w:eastAsia="Times New Roman" w:hAnsi="Palatino Linotype"/>
        </w:rPr>
      </w:pPr>
      <w:r w:rsidRPr="00026244">
        <w:rPr>
          <w:rFonts w:ascii="Palatino Linotype" w:hAnsi="Palatino Linotype"/>
        </w:rPr>
        <w:lastRenderedPageBreak/>
        <w:t>(ТА</w:t>
      </w:r>
      <w:proofErr w:type="gramStart"/>
      <w:r w:rsidRPr="00026244">
        <w:rPr>
          <w:rFonts w:ascii="Palatino Linotype" w:hAnsi="Palatino Linotype"/>
        </w:rPr>
        <w:t>FF</w:t>
      </w:r>
      <w:proofErr w:type="gramEnd"/>
      <w:r w:rsidRPr="00026244">
        <w:rPr>
          <w:rFonts w:ascii="Palatino Linotype" w:hAnsi="Palatino Linotype"/>
        </w:rPr>
        <w:t>)». Средства программы нацелены на сельскохозяйственные проекты.</w:t>
      </w:r>
    </w:p>
    <w:p w:rsidR="00FB5F40" w:rsidRPr="00026244" w:rsidRDefault="00FB5F40" w:rsidP="001F678E">
      <w:pPr>
        <w:spacing w:line="360" w:lineRule="auto"/>
        <w:jc w:val="center"/>
        <w:rPr>
          <w:rFonts w:ascii="Palatino Linotype" w:hAnsi="Palatino Linotype"/>
          <w:b/>
          <w:color w:val="006600"/>
          <w:spacing w:val="-8"/>
        </w:rPr>
        <w:sectPr w:rsidR="00FB5F40" w:rsidRPr="00026244" w:rsidSect="00766A11">
          <w:type w:val="continuous"/>
          <w:pgSz w:w="11906" w:h="16838"/>
          <w:pgMar w:top="1134" w:right="850" w:bottom="1134" w:left="1134" w:header="708" w:footer="708" w:gutter="0"/>
          <w:cols w:num="2" w:space="566"/>
          <w:docGrid w:linePitch="360"/>
        </w:sectPr>
      </w:pPr>
    </w:p>
    <w:p w:rsidR="00766A11" w:rsidRPr="00026244" w:rsidRDefault="00766A11" w:rsidP="004656BF">
      <w:pPr>
        <w:spacing w:line="240" w:lineRule="auto"/>
        <w:rPr>
          <w:rFonts w:ascii="Palatino Linotype" w:hAnsi="Palatino Linotype"/>
          <w:b/>
          <w:color w:val="006600"/>
          <w:spacing w:val="-8"/>
        </w:rPr>
      </w:pPr>
    </w:p>
    <w:p w:rsidR="00766A11" w:rsidRPr="00026244" w:rsidRDefault="00766A11" w:rsidP="004656BF">
      <w:pPr>
        <w:spacing w:line="240" w:lineRule="auto"/>
        <w:rPr>
          <w:rFonts w:ascii="Palatino Linotype" w:hAnsi="Palatino Linotype"/>
          <w:b/>
          <w:color w:val="006600"/>
          <w:spacing w:val="-8"/>
        </w:rPr>
        <w:sectPr w:rsidR="00766A11" w:rsidRPr="00026244" w:rsidSect="00766A11">
          <w:type w:val="continuous"/>
          <w:pgSz w:w="11906" w:h="16838"/>
          <w:pgMar w:top="1134" w:right="850" w:bottom="1134" w:left="1134" w:header="708" w:footer="708" w:gutter="0"/>
          <w:cols w:num="2" w:space="566"/>
          <w:docGrid w:linePitch="360"/>
        </w:sectPr>
      </w:pPr>
    </w:p>
    <w:p w:rsidR="00766A11" w:rsidRPr="00026244" w:rsidRDefault="00766A11" w:rsidP="004656BF">
      <w:pPr>
        <w:spacing w:line="240" w:lineRule="auto"/>
        <w:rPr>
          <w:rFonts w:ascii="Palatino Linotype" w:hAnsi="Palatino Linotype"/>
          <w:b/>
          <w:color w:val="006600"/>
          <w:spacing w:val="-8"/>
        </w:rPr>
      </w:pPr>
    </w:p>
    <w:p w:rsidR="00766A11" w:rsidRPr="00026244" w:rsidRDefault="00766A11" w:rsidP="004656BF">
      <w:pPr>
        <w:spacing w:line="240" w:lineRule="auto"/>
        <w:rPr>
          <w:rFonts w:ascii="Palatino Linotype" w:hAnsi="Palatino Linotype"/>
          <w:b/>
          <w:color w:val="006600"/>
          <w:spacing w:val="-8"/>
        </w:rPr>
      </w:pPr>
    </w:p>
    <w:p w:rsidR="00766A11" w:rsidRPr="00026244" w:rsidRDefault="00766A11" w:rsidP="004656BF">
      <w:pPr>
        <w:spacing w:line="240" w:lineRule="auto"/>
        <w:rPr>
          <w:rFonts w:ascii="Palatino Linotype" w:hAnsi="Palatino Linotype"/>
          <w:b/>
          <w:color w:val="006600"/>
          <w:spacing w:val="-8"/>
          <w:sz w:val="28"/>
          <w:szCs w:val="28"/>
        </w:rPr>
        <w:sectPr w:rsidR="00766A11" w:rsidRPr="00026244" w:rsidSect="00766A11">
          <w:type w:val="continuous"/>
          <w:pgSz w:w="11906" w:h="16838"/>
          <w:pgMar w:top="1134" w:right="850" w:bottom="1134" w:left="1134" w:header="708" w:footer="708" w:gutter="0"/>
          <w:cols w:num="2" w:space="566"/>
          <w:docGrid w:linePitch="360"/>
        </w:sectPr>
      </w:pPr>
    </w:p>
    <w:p w:rsidR="00FB5F40" w:rsidRPr="00026244" w:rsidRDefault="00FB5F40" w:rsidP="004656BF">
      <w:pPr>
        <w:spacing w:line="240" w:lineRule="auto"/>
        <w:rPr>
          <w:rFonts w:ascii="Times New Roman" w:hAnsi="Times New Roman"/>
          <w:spacing w:val="-8"/>
        </w:rPr>
      </w:pPr>
      <w:r w:rsidRPr="00026244">
        <w:rPr>
          <w:rFonts w:ascii="Palatino Linotype" w:hAnsi="Palatino Linotype"/>
          <w:b/>
          <w:color w:val="006600"/>
          <w:spacing w:val="-8"/>
          <w:sz w:val="28"/>
          <w:szCs w:val="28"/>
        </w:rPr>
        <w:lastRenderedPageBreak/>
        <w:t>ИНФОРМАЦИОНННЫЕ</w:t>
      </w:r>
      <w:r w:rsidR="00766A11" w:rsidRPr="00026244">
        <w:rPr>
          <w:rFonts w:ascii="Palatino Linotype" w:hAnsi="Palatino Linotype"/>
          <w:b/>
          <w:color w:val="006600"/>
          <w:spacing w:val="-8"/>
          <w:sz w:val="28"/>
          <w:szCs w:val="28"/>
        </w:rPr>
        <w:t xml:space="preserve"> </w:t>
      </w:r>
      <w:r w:rsidRPr="00026244">
        <w:rPr>
          <w:rFonts w:ascii="Palatino Linotype" w:hAnsi="Palatino Linotype"/>
          <w:b/>
          <w:color w:val="006600"/>
          <w:spacing w:val="-8"/>
          <w:sz w:val="28"/>
          <w:szCs w:val="28"/>
        </w:rPr>
        <w:t>ТЕХНОЛОГИИ</w:t>
      </w:r>
      <w:r w:rsidR="00766A11" w:rsidRPr="00026244">
        <w:rPr>
          <w:rFonts w:ascii="Palatino Linotype" w:hAnsi="Palatino Linotype"/>
          <w:b/>
          <w:color w:val="006600"/>
          <w:spacing w:val="-8"/>
          <w:sz w:val="28"/>
          <w:szCs w:val="28"/>
        </w:rPr>
        <w:t xml:space="preserve"> </w:t>
      </w:r>
      <w:r w:rsidRPr="00026244">
        <w:rPr>
          <w:rFonts w:ascii="Palatino Linotype" w:hAnsi="Palatino Linotype"/>
          <w:b/>
          <w:color w:val="006600"/>
          <w:spacing w:val="-8"/>
          <w:sz w:val="28"/>
          <w:szCs w:val="28"/>
        </w:rPr>
        <w:t>В</w:t>
      </w:r>
      <w:r w:rsidR="00766A11" w:rsidRPr="00026244">
        <w:rPr>
          <w:rFonts w:ascii="Palatino Linotype" w:hAnsi="Palatino Linotype"/>
          <w:b/>
          <w:color w:val="006600"/>
          <w:spacing w:val="-8"/>
          <w:sz w:val="28"/>
          <w:szCs w:val="28"/>
        </w:rPr>
        <w:t xml:space="preserve"> </w:t>
      </w:r>
      <w:r w:rsidRPr="00026244">
        <w:rPr>
          <w:rFonts w:ascii="Palatino Linotype" w:hAnsi="Palatino Linotype"/>
          <w:b/>
          <w:color w:val="006600"/>
          <w:spacing w:val="-8"/>
          <w:sz w:val="28"/>
          <w:szCs w:val="28"/>
        </w:rPr>
        <w:t>БАНКЕ</w:t>
      </w:r>
    </w:p>
    <w:p w:rsidR="00FB5F40" w:rsidRPr="00026244" w:rsidRDefault="00FB5F40" w:rsidP="004656BF">
      <w:pPr>
        <w:spacing w:line="240" w:lineRule="auto"/>
        <w:rPr>
          <w:rFonts w:ascii="Palatino Linotype" w:hAnsi="Palatino Linotype"/>
          <w:b/>
          <w:spacing w:val="-8"/>
          <w:sz w:val="28"/>
          <w:szCs w:val="28"/>
        </w:rPr>
        <w:sectPr w:rsidR="00FB5F40" w:rsidRPr="00026244" w:rsidSect="004656BF">
          <w:type w:val="continuous"/>
          <w:pgSz w:w="11906" w:h="16838"/>
          <w:pgMar w:top="1134" w:right="850" w:bottom="1134" w:left="1134" w:header="708" w:footer="708" w:gutter="0"/>
          <w:cols w:space="566"/>
          <w:docGrid w:linePitch="360"/>
        </w:sectPr>
      </w:pPr>
    </w:p>
    <w:p w:rsidR="00FB5F40" w:rsidRPr="00026244" w:rsidRDefault="00FB5F40" w:rsidP="004656BF">
      <w:pPr>
        <w:spacing w:line="240" w:lineRule="auto"/>
        <w:rPr>
          <w:rFonts w:ascii="Times New Roman" w:hAnsi="Times New Roman"/>
          <w:color w:val="7030A0"/>
          <w:spacing w:val="-8"/>
        </w:rPr>
      </w:pPr>
      <w:r w:rsidRPr="00026244">
        <w:rPr>
          <w:rFonts w:ascii="Palatino Linotype" w:hAnsi="Palatino Linotype"/>
          <w:b/>
          <w:color w:val="7030A0"/>
          <w:spacing w:val="-8"/>
          <w:sz w:val="28"/>
          <w:szCs w:val="28"/>
          <w:lang w:val="en-US"/>
        </w:rPr>
        <w:lastRenderedPageBreak/>
        <w:t>BANK</w:t>
      </w:r>
      <w:r w:rsidRPr="00026244">
        <w:rPr>
          <w:rFonts w:ascii="Palatino Linotype" w:hAnsi="Palatino Linotype"/>
          <w:b/>
          <w:color w:val="7030A0"/>
          <w:spacing w:val="-8"/>
          <w:sz w:val="28"/>
          <w:szCs w:val="28"/>
        </w:rPr>
        <w:t>’</w:t>
      </w:r>
      <w:r w:rsidRPr="00026244">
        <w:rPr>
          <w:rFonts w:ascii="Palatino Linotype" w:hAnsi="Palatino Linotype"/>
          <w:b/>
          <w:color w:val="7030A0"/>
          <w:spacing w:val="-8"/>
          <w:sz w:val="28"/>
          <w:szCs w:val="28"/>
          <w:lang w:val="en-US"/>
        </w:rPr>
        <w:t>S</w:t>
      </w:r>
      <w:r w:rsidR="00766A11" w:rsidRPr="00026244">
        <w:rPr>
          <w:rFonts w:ascii="Palatino Linotype" w:hAnsi="Palatino Linotype"/>
          <w:b/>
          <w:color w:val="7030A0"/>
          <w:spacing w:val="-8"/>
          <w:sz w:val="28"/>
          <w:szCs w:val="28"/>
        </w:rPr>
        <w:t xml:space="preserve"> </w:t>
      </w:r>
      <w:r w:rsidRPr="00026244">
        <w:rPr>
          <w:rFonts w:ascii="Palatino Linotype" w:hAnsi="Palatino Linotype"/>
          <w:b/>
          <w:color w:val="7030A0"/>
          <w:spacing w:val="-8"/>
          <w:sz w:val="28"/>
          <w:szCs w:val="28"/>
          <w:lang w:val="en-US"/>
        </w:rPr>
        <w:t>IT</w:t>
      </w:r>
      <w:r w:rsidR="00766A11" w:rsidRPr="00026244">
        <w:rPr>
          <w:rFonts w:ascii="Palatino Linotype" w:hAnsi="Palatino Linotype"/>
          <w:b/>
          <w:color w:val="7030A0"/>
          <w:spacing w:val="-8"/>
          <w:sz w:val="28"/>
          <w:szCs w:val="28"/>
        </w:rPr>
        <w:t xml:space="preserve"> </w:t>
      </w:r>
      <w:r w:rsidRPr="00026244">
        <w:rPr>
          <w:rFonts w:ascii="Palatino Linotype" w:hAnsi="Palatino Linotype"/>
          <w:b/>
          <w:color w:val="7030A0"/>
          <w:spacing w:val="-8"/>
          <w:sz w:val="28"/>
          <w:szCs w:val="28"/>
          <w:lang w:val="en-US"/>
        </w:rPr>
        <w:t>SYSTEM</w:t>
      </w:r>
    </w:p>
    <w:p w:rsidR="00FB5F40" w:rsidRPr="00026244" w:rsidRDefault="00FB5F40" w:rsidP="00392725">
      <w:pPr>
        <w:spacing w:line="240" w:lineRule="auto"/>
        <w:jc w:val="center"/>
        <w:rPr>
          <w:rFonts w:ascii="Palatino Linotype" w:hAnsi="Palatino Linotype"/>
          <w:b/>
          <w:color w:val="006600"/>
          <w:spacing w:val="-8"/>
          <w:sz w:val="28"/>
          <w:szCs w:val="28"/>
        </w:rPr>
      </w:pPr>
    </w:p>
    <w:p w:rsidR="00FB5F40" w:rsidRPr="00026244" w:rsidRDefault="00FB5F40" w:rsidP="001F678E">
      <w:pPr>
        <w:spacing w:line="360" w:lineRule="auto"/>
        <w:jc w:val="center"/>
        <w:rPr>
          <w:rFonts w:ascii="Palatino Linotype" w:hAnsi="Palatino Linotype"/>
          <w:b/>
          <w:color w:val="003300"/>
          <w:spacing w:val="-8"/>
          <w:sz w:val="24"/>
          <w:szCs w:val="24"/>
        </w:rPr>
        <w:sectPr w:rsidR="00FB5F40" w:rsidRPr="00026244" w:rsidSect="004656BF">
          <w:type w:val="continuous"/>
          <w:pgSz w:w="11906" w:h="16838"/>
          <w:pgMar w:top="1134" w:right="850" w:bottom="1134" w:left="1134" w:header="708" w:footer="708" w:gutter="0"/>
          <w:cols w:num="2" w:space="566"/>
          <w:docGrid w:linePitch="360"/>
        </w:sectPr>
      </w:pPr>
    </w:p>
    <w:p w:rsidR="00FB5F40" w:rsidRPr="00026244" w:rsidRDefault="00FB5F40" w:rsidP="005922A7">
      <w:pPr>
        <w:pStyle w:val="af1"/>
        <w:spacing w:before="0" w:beforeAutospacing="0" w:after="0" w:afterAutospacing="0" w:line="276" w:lineRule="auto"/>
        <w:ind w:firstLine="426"/>
        <w:jc w:val="both"/>
        <w:rPr>
          <w:rFonts w:ascii="Palatino Linotype" w:hAnsi="Palatino Linotype"/>
          <w:sz w:val="22"/>
          <w:szCs w:val="22"/>
        </w:rPr>
      </w:pPr>
      <w:r w:rsidRPr="00026244">
        <w:rPr>
          <w:rFonts w:ascii="Palatino Linotype" w:hAnsi="Palatino Linotype"/>
          <w:sz w:val="22"/>
          <w:szCs w:val="22"/>
        </w:rPr>
        <w:lastRenderedPageBreak/>
        <w:t xml:space="preserve">За прошедший год автоматизация основных жизненно необходимых бизнес-процессов в Банке  продолжилась. Речь идёт об автоматизации ведения бухгалтерского учета (программа операционного дня, основные фонды, подготовка обязательной отчетности, выпуск и обслуживание пластиковых карт), а также завершилась работа по внедрению централизованного кредитного модуля во всех филиалах Банка. </w:t>
      </w:r>
    </w:p>
    <w:p w:rsidR="00FB5F40" w:rsidRPr="00026244" w:rsidRDefault="00FB5F40" w:rsidP="005922A7">
      <w:pPr>
        <w:pStyle w:val="af1"/>
        <w:spacing w:before="0" w:beforeAutospacing="0" w:after="0" w:afterAutospacing="0" w:line="276" w:lineRule="auto"/>
        <w:ind w:firstLine="426"/>
        <w:jc w:val="both"/>
        <w:rPr>
          <w:rFonts w:ascii="Palatino Linotype" w:hAnsi="Palatino Linotype"/>
          <w:sz w:val="22"/>
          <w:szCs w:val="22"/>
        </w:rPr>
      </w:pPr>
      <w:r w:rsidRPr="00026244">
        <w:rPr>
          <w:rFonts w:ascii="Palatino Linotype" w:hAnsi="Palatino Linotype"/>
          <w:sz w:val="22"/>
          <w:szCs w:val="22"/>
        </w:rPr>
        <w:t>На основе технических задач  внутренних структур Банка разработано и  сдано в эксплуатацию более  30  аналитических  подпрограмм, которые способствуют своевременной подготовке  банковской отчетности, строгому контролю и надзору со стороны руководства Банка.</w:t>
      </w:r>
    </w:p>
    <w:p w:rsidR="00FB5F40" w:rsidRPr="00026244" w:rsidRDefault="00FB5F40" w:rsidP="00766A11">
      <w:pPr>
        <w:pStyle w:val="af1"/>
        <w:spacing w:before="0" w:beforeAutospacing="0" w:after="0" w:afterAutospacing="0" w:line="276" w:lineRule="auto"/>
        <w:ind w:firstLine="426"/>
        <w:jc w:val="both"/>
        <w:rPr>
          <w:rFonts w:ascii="Palatino Linotype" w:hAnsi="Palatino Linotype"/>
          <w:sz w:val="22"/>
          <w:szCs w:val="22"/>
          <w:lang w:val="tg-Cyrl-TJ"/>
        </w:rPr>
      </w:pPr>
      <w:r w:rsidRPr="00026244">
        <w:rPr>
          <w:rFonts w:ascii="Palatino Linotype" w:hAnsi="Palatino Linotype"/>
          <w:sz w:val="22"/>
          <w:szCs w:val="22"/>
          <w:lang w:val="tg-Cyrl-TJ"/>
        </w:rPr>
        <w:t>За прошедший год банк активно занимался внедрением технологий по выпуску и обслуживанию региональных банковских карт в особенности д</w:t>
      </w:r>
      <w:r w:rsidR="00766A11" w:rsidRPr="00026244">
        <w:rPr>
          <w:rFonts w:ascii="Palatino Linotype" w:hAnsi="Palatino Linotype"/>
          <w:sz w:val="22"/>
          <w:szCs w:val="22"/>
          <w:lang w:val="tg-Cyrl-TJ"/>
        </w:rPr>
        <w:t>ля потенциальных клиентов банка</w:t>
      </w:r>
      <w:r w:rsidR="00766A11" w:rsidRPr="00026244">
        <w:rPr>
          <w:rFonts w:ascii="Palatino Linotype" w:hAnsi="Palatino Linotype"/>
          <w:sz w:val="22"/>
          <w:szCs w:val="22"/>
        </w:rPr>
        <w:t xml:space="preserve"> </w:t>
      </w:r>
      <w:r w:rsidRPr="00026244">
        <w:rPr>
          <w:rFonts w:ascii="Palatino Linotype" w:hAnsi="Palatino Linotype"/>
          <w:sz w:val="22"/>
          <w:szCs w:val="22"/>
          <w:lang w:val="tg-Cyrl-TJ"/>
        </w:rPr>
        <w:t xml:space="preserve">(организаций и пенсионеров). Одновременно силами управления информационных технологий интегрировалось програмное обеспечение соотвествующих структур с банковским и на этой основе большее внимание начали выделять фронт-офисным приложениям. </w:t>
      </w:r>
    </w:p>
    <w:p w:rsidR="00FB5F40" w:rsidRDefault="00FB5F40" w:rsidP="005922A7">
      <w:pPr>
        <w:ind w:firstLine="426"/>
        <w:jc w:val="both"/>
        <w:rPr>
          <w:rFonts w:ascii="Palatino Linotype" w:hAnsi="Palatino Linotype"/>
          <w:lang w:val="tg-Cyrl-TJ"/>
        </w:rPr>
      </w:pPr>
      <w:r w:rsidRPr="00026244">
        <w:rPr>
          <w:rFonts w:ascii="Palatino Linotype" w:hAnsi="Palatino Linotype"/>
          <w:lang w:val="tg-Cyrl-TJ"/>
        </w:rPr>
        <w:t xml:space="preserve">Расширяется терминальная сеть банка, так в прошедшем году банк произвел закупку 15 банкоматов и 100 постерминалов на сумму более 1 259 тыс. сомони и на сегодняшний день банк владеет 60 банкоматами и 185 постерминалами. </w:t>
      </w:r>
    </w:p>
    <w:p w:rsidR="003F0F96" w:rsidRPr="003F0F96" w:rsidRDefault="003F0F96" w:rsidP="005922A7">
      <w:pPr>
        <w:ind w:firstLine="426"/>
        <w:jc w:val="both"/>
        <w:rPr>
          <w:rFonts w:ascii="Palatino Linotype" w:hAnsi="Palatino Linotype"/>
          <w:color w:val="FF0000"/>
          <w:sz w:val="16"/>
          <w:szCs w:val="16"/>
          <w:lang w:val="tg-Cyrl-TJ"/>
        </w:rPr>
      </w:pPr>
      <w:r w:rsidRPr="003F0F96">
        <w:rPr>
          <w:rFonts w:ascii="Palatino Linotype" w:hAnsi="Palatino Linotype"/>
          <w:color w:val="FF0000"/>
          <w:sz w:val="16"/>
          <w:szCs w:val="16"/>
        </w:rPr>
        <w:t>Бесспорно</w:t>
      </w:r>
      <w:r>
        <w:rPr>
          <w:rFonts w:ascii="Palatino Linotype" w:hAnsi="Palatino Linotype"/>
          <w:color w:val="FF0000"/>
          <w:sz w:val="16"/>
          <w:szCs w:val="16"/>
        </w:rPr>
        <w:t>,</w:t>
      </w:r>
      <w:r w:rsidRPr="003F0F96">
        <w:rPr>
          <w:rFonts w:ascii="Palatino Linotype" w:hAnsi="Palatino Linotype"/>
          <w:color w:val="FF0000"/>
          <w:sz w:val="16"/>
          <w:szCs w:val="16"/>
        </w:rPr>
        <w:t xml:space="preserve"> в ближайшем будущем предпочтение будет отдаваться единым методам доставки банковских услуг будь то через филиал Банка, терминалами самообслуживания или каналам Интернета, так чтобы  клиент  мог получить  удобную и легкодоступную услугу.</w:t>
      </w:r>
    </w:p>
    <w:p w:rsidR="00FB5F40" w:rsidRPr="00026244" w:rsidRDefault="00FB5F40" w:rsidP="006803BD">
      <w:pPr>
        <w:pStyle w:val="af1"/>
        <w:spacing w:before="0" w:beforeAutospacing="0" w:after="0" w:afterAutospacing="0" w:line="276" w:lineRule="auto"/>
        <w:ind w:firstLine="708"/>
        <w:jc w:val="both"/>
        <w:rPr>
          <w:sz w:val="22"/>
          <w:szCs w:val="22"/>
        </w:rPr>
      </w:pPr>
    </w:p>
    <w:p w:rsidR="00FB5F40" w:rsidRPr="00026244" w:rsidRDefault="00FB5F40" w:rsidP="006803BD">
      <w:pPr>
        <w:pStyle w:val="af1"/>
        <w:spacing w:before="0" w:beforeAutospacing="0" w:after="0" w:afterAutospacing="0" w:line="276" w:lineRule="auto"/>
        <w:ind w:firstLine="708"/>
        <w:jc w:val="both"/>
        <w:rPr>
          <w:sz w:val="22"/>
          <w:szCs w:val="22"/>
        </w:rPr>
      </w:pPr>
    </w:p>
    <w:p w:rsidR="00FB5F40" w:rsidRPr="00026244" w:rsidRDefault="00FB5F40" w:rsidP="006803BD">
      <w:pPr>
        <w:pStyle w:val="af1"/>
        <w:spacing w:before="0" w:beforeAutospacing="0" w:after="0" w:afterAutospacing="0" w:line="276" w:lineRule="auto"/>
        <w:ind w:firstLine="708"/>
        <w:jc w:val="both"/>
        <w:rPr>
          <w:sz w:val="22"/>
          <w:szCs w:val="22"/>
        </w:rPr>
      </w:pPr>
    </w:p>
    <w:p w:rsidR="00FB5F40" w:rsidRPr="00026244" w:rsidRDefault="00FB5F40" w:rsidP="005922A7">
      <w:pPr>
        <w:pStyle w:val="af1"/>
        <w:spacing w:before="0" w:beforeAutospacing="0" w:after="0" w:afterAutospacing="0" w:line="276" w:lineRule="auto"/>
        <w:ind w:firstLine="426"/>
        <w:jc w:val="both"/>
        <w:rPr>
          <w:rFonts w:ascii="Palatino Linotype" w:hAnsi="Palatino Linotype"/>
          <w:sz w:val="22"/>
          <w:szCs w:val="22"/>
          <w:lang w:val="en-US"/>
        </w:rPr>
      </w:pPr>
      <w:r w:rsidRPr="00026244">
        <w:rPr>
          <w:rFonts w:ascii="Palatino Linotype" w:hAnsi="Palatino Linotype"/>
          <w:sz w:val="22"/>
          <w:szCs w:val="22"/>
          <w:lang w:val="en-US"/>
        </w:rPr>
        <w:t xml:space="preserve">During the reporting year automation of main vitally important business processes was underway. It includes automation of accounting (trading day program, key assets, mandatory statements, issuing and servicing plastic cards) and application of unified credit module for </w:t>
      </w:r>
      <w:proofErr w:type="spellStart"/>
      <w:r w:rsidRPr="00026244">
        <w:rPr>
          <w:rFonts w:ascii="Palatino Linotype" w:hAnsi="Palatino Linotype"/>
          <w:sz w:val="22"/>
          <w:szCs w:val="22"/>
          <w:lang w:val="en-US"/>
        </w:rPr>
        <w:t>al</w:t>
      </w:r>
      <w:proofErr w:type="spellEnd"/>
      <w:r w:rsidRPr="00026244">
        <w:rPr>
          <w:rFonts w:ascii="Palatino Linotype" w:hAnsi="Palatino Linotype"/>
          <w:sz w:val="22"/>
          <w:szCs w:val="22"/>
          <w:lang w:val="en-US"/>
        </w:rPr>
        <w:t xml:space="preserve"> branches of the Bank is completed. </w:t>
      </w:r>
    </w:p>
    <w:p w:rsidR="00FB5F40" w:rsidRPr="00026244" w:rsidRDefault="00FB5F40" w:rsidP="005922A7">
      <w:pPr>
        <w:pStyle w:val="af1"/>
        <w:spacing w:before="0" w:beforeAutospacing="0" w:after="0" w:afterAutospacing="0" w:line="276" w:lineRule="auto"/>
        <w:ind w:firstLine="426"/>
        <w:jc w:val="both"/>
        <w:rPr>
          <w:rFonts w:ascii="Palatino Linotype" w:hAnsi="Palatino Linotype"/>
          <w:sz w:val="22"/>
          <w:szCs w:val="22"/>
          <w:lang w:val="en-US"/>
        </w:rPr>
      </w:pPr>
      <w:r w:rsidRPr="00026244">
        <w:rPr>
          <w:rFonts w:ascii="Palatino Linotype" w:hAnsi="Palatino Linotype"/>
          <w:sz w:val="22"/>
          <w:szCs w:val="22"/>
          <w:lang w:val="en-US"/>
        </w:rPr>
        <w:t>According to technical requests of the departments more than 30 analytical sub-programs were developed which contribute to timely preparation of Bank statements, to tight control and supervision from the management’s side.</w:t>
      </w:r>
    </w:p>
    <w:p w:rsidR="00FB5F40" w:rsidRPr="00026244" w:rsidRDefault="00FB5F40" w:rsidP="005922A7">
      <w:pPr>
        <w:pStyle w:val="af1"/>
        <w:spacing w:before="0" w:beforeAutospacing="0" w:after="0" w:afterAutospacing="0" w:line="276" w:lineRule="auto"/>
        <w:ind w:firstLine="426"/>
        <w:jc w:val="both"/>
        <w:rPr>
          <w:rFonts w:ascii="Palatino Linotype" w:hAnsi="Palatino Linotype"/>
          <w:sz w:val="22"/>
          <w:szCs w:val="22"/>
          <w:lang w:val="tg-Cyrl-TJ"/>
        </w:rPr>
      </w:pPr>
      <w:r w:rsidRPr="00026244">
        <w:rPr>
          <w:rFonts w:ascii="Palatino Linotype" w:hAnsi="Palatino Linotype"/>
          <w:sz w:val="22"/>
          <w:szCs w:val="22"/>
          <w:lang w:val="en-US"/>
        </w:rPr>
        <w:t xml:space="preserve">During the past year </w:t>
      </w:r>
      <w:proofErr w:type="spellStart"/>
      <w:r w:rsidRPr="00026244">
        <w:rPr>
          <w:rFonts w:ascii="Palatino Linotype" w:hAnsi="Palatino Linotype"/>
          <w:sz w:val="22"/>
          <w:szCs w:val="22"/>
          <w:lang w:val="en-US"/>
        </w:rPr>
        <w:t>Amonatb</w:t>
      </w:r>
      <w:r w:rsidR="00662E5A" w:rsidRPr="00026244">
        <w:rPr>
          <w:rFonts w:ascii="Palatino Linotype" w:hAnsi="Palatino Linotype"/>
          <w:sz w:val="22"/>
          <w:szCs w:val="22"/>
          <w:lang w:val="en-US"/>
        </w:rPr>
        <w:t>a</w:t>
      </w:r>
      <w:r w:rsidRPr="00026244">
        <w:rPr>
          <w:rFonts w:ascii="Palatino Linotype" w:hAnsi="Palatino Linotype"/>
          <w:sz w:val="22"/>
          <w:szCs w:val="22"/>
          <w:lang w:val="en-US"/>
        </w:rPr>
        <w:t>nk</w:t>
      </w:r>
      <w:proofErr w:type="spellEnd"/>
      <w:r w:rsidRPr="00026244">
        <w:rPr>
          <w:rFonts w:ascii="Palatino Linotype" w:hAnsi="Palatino Linotype"/>
          <w:sz w:val="22"/>
          <w:szCs w:val="22"/>
          <w:lang w:val="en-US"/>
        </w:rPr>
        <w:t xml:space="preserve"> was actively involved in introducing technology for issuing and servicing banking cards, mainly for potential clients of the Bank (organizations and pensioners)</w:t>
      </w:r>
      <w:r w:rsidRPr="00026244">
        <w:rPr>
          <w:rFonts w:ascii="Palatino Linotype" w:hAnsi="Palatino Linotype"/>
          <w:sz w:val="22"/>
          <w:szCs w:val="22"/>
          <w:lang w:val="tg-Cyrl-TJ"/>
        </w:rPr>
        <w:t xml:space="preserve">. At the same time by the efforts of It Department of the bank the software of corresponding authorities was integrated to the Banks IT system </w:t>
      </w:r>
      <w:r w:rsidRPr="00026244">
        <w:rPr>
          <w:rFonts w:ascii="Palatino Linotype" w:hAnsi="Palatino Linotype"/>
          <w:sz w:val="22"/>
          <w:szCs w:val="22"/>
          <w:lang w:val="en-US"/>
        </w:rPr>
        <w:t>and in this connection more attention is being paid to front office applications</w:t>
      </w:r>
      <w:r w:rsidRPr="00026244">
        <w:rPr>
          <w:rFonts w:ascii="Palatino Linotype" w:hAnsi="Palatino Linotype"/>
          <w:sz w:val="22"/>
          <w:szCs w:val="22"/>
          <w:lang w:val="tg-Cyrl-TJ"/>
        </w:rPr>
        <w:t xml:space="preserve">. </w:t>
      </w:r>
    </w:p>
    <w:p w:rsidR="003F0F96" w:rsidRPr="00026244" w:rsidRDefault="003F0F96" w:rsidP="003F0F96">
      <w:pPr>
        <w:spacing w:after="0"/>
        <w:ind w:firstLine="426"/>
        <w:jc w:val="both"/>
        <w:rPr>
          <w:rFonts w:ascii="Palatino Linotype" w:hAnsi="Palatino Linotype"/>
          <w:lang w:val="tg-Cyrl-TJ"/>
        </w:rPr>
      </w:pPr>
      <w:r w:rsidRPr="00026244">
        <w:rPr>
          <w:rFonts w:ascii="Palatino Linotype" w:hAnsi="Palatino Linotype"/>
          <w:lang w:val="tg-Cyrl-TJ"/>
        </w:rPr>
        <w:t>The  terminal network of the Bank is also expanding, so in 2011 15 ATMs and 100 POS terminals were acquired to the total sum of 1 259 </w:t>
      </w:r>
      <w:r w:rsidRPr="00026244">
        <w:rPr>
          <w:rFonts w:ascii="Palatino Linotype" w:hAnsi="Palatino Linotype"/>
          <w:lang w:val="en-US"/>
        </w:rPr>
        <w:t xml:space="preserve">thousand TJS. Thus, </w:t>
      </w:r>
      <w:proofErr w:type="spellStart"/>
      <w:r w:rsidRPr="00026244">
        <w:rPr>
          <w:rFonts w:ascii="Palatino Linotype" w:hAnsi="Palatino Linotype"/>
          <w:lang w:val="en-US"/>
        </w:rPr>
        <w:t>Amonatbank</w:t>
      </w:r>
      <w:proofErr w:type="spellEnd"/>
      <w:r w:rsidRPr="00026244">
        <w:rPr>
          <w:rFonts w:ascii="Palatino Linotype" w:hAnsi="Palatino Linotype"/>
          <w:lang w:val="en-US"/>
        </w:rPr>
        <w:t xml:space="preserve"> possesses 60 ATMs and 185 POS terminals</w:t>
      </w:r>
      <w:r w:rsidRPr="00026244">
        <w:rPr>
          <w:rFonts w:ascii="Palatino Linotype" w:hAnsi="Palatino Linotype"/>
          <w:lang w:val="tg-Cyrl-TJ"/>
        </w:rPr>
        <w:t xml:space="preserve">. </w:t>
      </w:r>
    </w:p>
    <w:p w:rsidR="00766A11" w:rsidRPr="00026244" w:rsidRDefault="00766A11" w:rsidP="00766A11">
      <w:pPr>
        <w:pStyle w:val="af1"/>
        <w:spacing w:before="0" w:beforeAutospacing="0" w:after="0" w:afterAutospacing="0" w:line="276" w:lineRule="auto"/>
        <w:ind w:firstLine="426"/>
        <w:jc w:val="both"/>
        <w:rPr>
          <w:rFonts w:ascii="Palatino Linotype" w:hAnsi="Palatino Linotype"/>
          <w:sz w:val="22"/>
          <w:szCs w:val="22"/>
          <w:lang w:val="tg-Cyrl-TJ"/>
        </w:rPr>
      </w:pPr>
      <w:r w:rsidRPr="00026244">
        <w:rPr>
          <w:rFonts w:ascii="Palatino Linotype" w:hAnsi="Palatino Linotype"/>
          <w:sz w:val="22"/>
          <w:szCs w:val="22"/>
          <w:lang w:val="tg-Cyrl-TJ"/>
        </w:rPr>
        <w:t>It is beyond questions that in the nearest future the preference will be given to the unified methods of delivering banking services whether it is done through branches</w:t>
      </w:r>
      <w:r w:rsidRPr="00026244">
        <w:rPr>
          <w:rFonts w:ascii="Palatino Linotype" w:hAnsi="Palatino Linotype"/>
          <w:sz w:val="22"/>
          <w:szCs w:val="22"/>
          <w:lang w:val="en-US"/>
        </w:rPr>
        <w:t xml:space="preserve">, terminals of self-service or internet channels, so that the clients could receive convenient and easily </w:t>
      </w:r>
      <w:r w:rsidR="003306BA" w:rsidRPr="00026244">
        <w:rPr>
          <w:rFonts w:ascii="Palatino Linotype" w:hAnsi="Palatino Linotype"/>
          <w:sz w:val="22"/>
          <w:szCs w:val="22"/>
          <w:lang w:val="en-US"/>
        </w:rPr>
        <w:t>accessible</w:t>
      </w:r>
      <w:r w:rsidRPr="00026244">
        <w:rPr>
          <w:rFonts w:ascii="Palatino Linotype" w:hAnsi="Palatino Linotype"/>
          <w:sz w:val="22"/>
          <w:szCs w:val="22"/>
          <w:lang w:val="en-US"/>
        </w:rPr>
        <w:t xml:space="preserve"> service</w:t>
      </w:r>
      <w:r w:rsidRPr="00026244">
        <w:rPr>
          <w:rFonts w:ascii="Palatino Linotype" w:hAnsi="Palatino Linotype"/>
          <w:sz w:val="22"/>
          <w:szCs w:val="22"/>
          <w:lang w:val="tg-Cyrl-TJ"/>
        </w:rPr>
        <w:t>.</w:t>
      </w:r>
    </w:p>
    <w:p w:rsidR="00FB5F40" w:rsidRPr="00026244" w:rsidRDefault="00FB5F40" w:rsidP="00392725">
      <w:pPr>
        <w:pStyle w:val="af1"/>
        <w:spacing w:before="0" w:beforeAutospacing="0" w:after="0" w:afterAutospacing="0" w:line="276" w:lineRule="auto"/>
        <w:ind w:firstLine="708"/>
        <w:jc w:val="both"/>
        <w:rPr>
          <w:rFonts w:ascii="Palatino Linotype" w:hAnsi="Palatino Linotype"/>
          <w:sz w:val="22"/>
          <w:szCs w:val="22"/>
          <w:lang w:val="tg-Cyrl-TJ"/>
        </w:rPr>
      </w:pPr>
    </w:p>
    <w:p w:rsidR="00FB5F40" w:rsidRPr="00026244" w:rsidRDefault="00FB5F40" w:rsidP="001F678E">
      <w:pPr>
        <w:ind w:firstLine="708"/>
        <w:jc w:val="both"/>
        <w:rPr>
          <w:rFonts w:ascii="Palatino Linotype" w:hAnsi="Palatino Linotype"/>
          <w:b/>
          <w:color w:val="003300"/>
          <w:sz w:val="28"/>
          <w:szCs w:val="28"/>
          <w:lang w:val="en-US"/>
        </w:rPr>
        <w:sectPr w:rsidR="00FB5F40" w:rsidRPr="00026244" w:rsidSect="00EF010A">
          <w:type w:val="continuous"/>
          <w:pgSz w:w="11906" w:h="16838"/>
          <w:pgMar w:top="1134" w:right="850" w:bottom="1134" w:left="1134" w:header="708" w:footer="708" w:gutter="0"/>
          <w:cols w:num="2" w:space="566"/>
          <w:docGrid w:linePitch="360"/>
        </w:sectPr>
      </w:pPr>
    </w:p>
    <w:p w:rsidR="00766A11" w:rsidRPr="00026244" w:rsidRDefault="00766A11" w:rsidP="006803BD">
      <w:pPr>
        <w:spacing w:line="240" w:lineRule="auto"/>
        <w:ind w:firstLine="708"/>
        <w:jc w:val="both"/>
        <w:rPr>
          <w:rFonts w:ascii="Palatino Linotype" w:hAnsi="Palatino Linotype"/>
          <w:b/>
          <w:color w:val="006600"/>
          <w:sz w:val="28"/>
          <w:szCs w:val="28"/>
          <w:lang w:val="en-US"/>
        </w:rPr>
      </w:pPr>
    </w:p>
    <w:p w:rsidR="00FB5F40" w:rsidRPr="00BA6FED" w:rsidRDefault="00FB5F40" w:rsidP="006803BD">
      <w:pPr>
        <w:spacing w:line="240" w:lineRule="auto"/>
        <w:ind w:firstLine="708"/>
        <w:jc w:val="both"/>
        <w:rPr>
          <w:rFonts w:ascii="Palatino Linotype" w:hAnsi="Palatino Linotype"/>
          <w:b/>
          <w:color w:val="006600"/>
          <w:sz w:val="28"/>
          <w:szCs w:val="28"/>
        </w:rPr>
      </w:pPr>
      <w:r w:rsidRPr="00026244">
        <w:rPr>
          <w:rFonts w:ascii="Palatino Linotype" w:hAnsi="Palatino Linotype"/>
          <w:b/>
          <w:color w:val="006600"/>
          <w:sz w:val="28"/>
          <w:szCs w:val="28"/>
        </w:rPr>
        <w:t>КАДРОВАЯПОЛИТИКА</w:t>
      </w:r>
    </w:p>
    <w:p w:rsidR="00FB5F40" w:rsidRPr="00BA6FED" w:rsidRDefault="00FB5F40" w:rsidP="006803BD">
      <w:pPr>
        <w:spacing w:line="240" w:lineRule="auto"/>
        <w:ind w:firstLine="708"/>
        <w:rPr>
          <w:rFonts w:ascii="Palatino Linotype" w:hAnsi="Palatino Linotype"/>
          <w:b/>
          <w:color w:val="7030A0"/>
          <w:sz w:val="28"/>
          <w:szCs w:val="28"/>
        </w:rPr>
      </w:pPr>
      <w:r w:rsidRPr="00026244">
        <w:rPr>
          <w:rFonts w:ascii="Palatino Linotype" w:hAnsi="Palatino Linotype"/>
          <w:b/>
          <w:color w:val="7030A0"/>
          <w:sz w:val="28"/>
          <w:szCs w:val="28"/>
          <w:lang w:val="en-US"/>
        </w:rPr>
        <w:t>HR</w:t>
      </w:r>
      <w:r w:rsidRPr="00BA6FED">
        <w:rPr>
          <w:rFonts w:ascii="Palatino Linotype" w:hAnsi="Palatino Linotype"/>
          <w:b/>
          <w:color w:val="7030A0"/>
          <w:sz w:val="28"/>
          <w:szCs w:val="28"/>
        </w:rPr>
        <w:t xml:space="preserve"> </w:t>
      </w:r>
      <w:r w:rsidRPr="00026244">
        <w:rPr>
          <w:rFonts w:ascii="Palatino Linotype" w:hAnsi="Palatino Linotype"/>
          <w:b/>
          <w:color w:val="7030A0"/>
          <w:sz w:val="28"/>
          <w:szCs w:val="28"/>
          <w:lang w:val="en-US"/>
        </w:rPr>
        <w:t>POLICY</w:t>
      </w:r>
      <w:r w:rsidRPr="00BA6FED">
        <w:rPr>
          <w:rFonts w:ascii="Palatino Linotype" w:hAnsi="Palatino Linotype"/>
          <w:b/>
          <w:color w:val="7030A0"/>
          <w:sz w:val="28"/>
          <w:szCs w:val="28"/>
        </w:rPr>
        <w:t xml:space="preserve"> </w:t>
      </w:r>
      <w:r w:rsidRPr="00026244">
        <w:rPr>
          <w:rFonts w:ascii="Palatino Linotype" w:hAnsi="Palatino Linotype"/>
          <w:b/>
          <w:color w:val="7030A0"/>
          <w:sz w:val="28"/>
          <w:szCs w:val="28"/>
          <w:lang w:val="en-US"/>
        </w:rPr>
        <w:t>AND</w:t>
      </w:r>
      <w:r w:rsidRPr="00BA6FED">
        <w:rPr>
          <w:rFonts w:ascii="Palatino Linotype" w:hAnsi="Palatino Linotype"/>
          <w:b/>
          <w:color w:val="7030A0"/>
          <w:sz w:val="28"/>
          <w:szCs w:val="28"/>
        </w:rPr>
        <w:t xml:space="preserve"> </w:t>
      </w:r>
      <w:r w:rsidRPr="00026244">
        <w:rPr>
          <w:rFonts w:ascii="Palatino Linotype" w:hAnsi="Palatino Linotype"/>
          <w:b/>
          <w:color w:val="7030A0"/>
          <w:sz w:val="28"/>
          <w:szCs w:val="28"/>
          <w:lang w:val="en-US"/>
        </w:rPr>
        <w:t>ROCEDURES</w:t>
      </w:r>
    </w:p>
    <w:p w:rsidR="00FB5F40" w:rsidRPr="00BA6FED" w:rsidRDefault="00FB5F40" w:rsidP="001F678E">
      <w:pPr>
        <w:ind w:firstLine="708"/>
        <w:jc w:val="both"/>
        <w:rPr>
          <w:rFonts w:ascii="Palatino Linotype" w:hAnsi="Palatino Linotype"/>
          <w:b/>
          <w:color w:val="003300"/>
          <w:sz w:val="28"/>
          <w:szCs w:val="28"/>
        </w:rPr>
        <w:sectPr w:rsidR="00FB5F40" w:rsidRPr="00BA6FED" w:rsidSect="006803BD">
          <w:type w:val="continuous"/>
          <w:pgSz w:w="11906" w:h="16838"/>
          <w:pgMar w:top="1134" w:right="850" w:bottom="1134" w:left="1134" w:header="708" w:footer="708" w:gutter="0"/>
          <w:cols w:space="566"/>
          <w:docGrid w:linePitch="360"/>
        </w:sectPr>
      </w:pPr>
    </w:p>
    <w:p w:rsidR="00FB5F40" w:rsidRPr="00BA6FED" w:rsidRDefault="00FB5F40" w:rsidP="001F678E">
      <w:pPr>
        <w:ind w:firstLine="708"/>
        <w:jc w:val="both"/>
        <w:rPr>
          <w:rFonts w:ascii="Palatino Linotype" w:hAnsi="Palatino Linotype"/>
          <w:b/>
          <w:color w:val="003300"/>
        </w:rPr>
      </w:pPr>
    </w:p>
    <w:p w:rsidR="00FB5F40" w:rsidRPr="00BA6FED" w:rsidRDefault="00FB5F40" w:rsidP="001F678E">
      <w:pPr>
        <w:ind w:firstLine="708"/>
        <w:jc w:val="both"/>
        <w:rPr>
          <w:rFonts w:ascii="Palatino Linotype" w:hAnsi="Palatino Linotype"/>
          <w:b/>
          <w:color w:val="003300"/>
          <w:sz w:val="28"/>
          <w:szCs w:val="28"/>
        </w:rPr>
        <w:sectPr w:rsidR="00FB5F40" w:rsidRPr="00BA6FED" w:rsidSect="006803BD">
          <w:type w:val="continuous"/>
          <w:pgSz w:w="11906" w:h="16838"/>
          <w:pgMar w:top="1134" w:right="850" w:bottom="1134" w:left="1134" w:header="708" w:footer="708" w:gutter="0"/>
          <w:cols w:num="2" w:space="566"/>
          <w:docGrid w:linePitch="360"/>
        </w:sectPr>
      </w:pPr>
    </w:p>
    <w:p w:rsidR="00FB5F40" w:rsidRPr="00026244" w:rsidRDefault="00FB5F40" w:rsidP="00766A11">
      <w:pPr>
        <w:spacing w:after="0"/>
        <w:ind w:right="-1" w:firstLine="284"/>
        <w:jc w:val="both"/>
        <w:rPr>
          <w:rFonts w:ascii="Palatino Linotype" w:hAnsi="Palatino Linotype"/>
          <w:bCs/>
          <w:lang w:eastAsia="ru-RU"/>
        </w:rPr>
      </w:pPr>
      <w:r w:rsidRPr="00026244">
        <w:rPr>
          <w:rFonts w:ascii="Palatino Linotype" w:hAnsi="Palatino Linotype"/>
          <w:bCs/>
          <w:lang w:eastAsia="ru-RU"/>
        </w:rPr>
        <w:lastRenderedPageBreak/>
        <w:t xml:space="preserve">Проводимая кадровая политика Банка в 2011 году непосредственно повлияла на рост показателей деятельности Банка. Сотрудники Банка являются  квалифицированными специалистами в своих областях. В то же время при поиске новых сотрудников и при рассмотрении вопроса о передвижении на другую более высокую должность, </w:t>
      </w:r>
      <w:r w:rsidR="005737B8" w:rsidRPr="00026244">
        <w:rPr>
          <w:rFonts w:ascii="Palatino Linotype" w:hAnsi="Palatino Linotype"/>
          <w:bCs/>
          <w:lang w:eastAsia="ru-RU"/>
        </w:rPr>
        <w:t>Служба кадрового менеджмента Банка</w:t>
      </w:r>
      <w:r w:rsidRPr="00026244">
        <w:rPr>
          <w:rFonts w:ascii="Palatino Linotype" w:hAnsi="Palatino Linotype"/>
          <w:bCs/>
          <w:lang w:eastAsia="ru-RU"/>
        </w:rPr>
        <w:t xml:space="preserve"> руководствуется не только профессиональными, но и личностными  характеристиками кандидатов и специалистов  и их стремлением к повышению своей квалификации  и дальнейшему росту и развитию.</w:t>
      </w:r>
    </w:p>
    <w:p w:rsidR="00FB5F40" w:rsidRPr="00026244" w:rsidRDefault="00FB5F40" w:rsidP="006803BD">
      <w:pPr>
        <w:spacing w:after="0"/>
        <w:ind w:right="-1"/>
        <w:jc w:val="both"/>
        <w:rPr>
          <w:rFonts w:ascii="Palatino Linotype" w:hAnsi="Palatino Linotype"/>
          <w:bCs/>
          <w:lang w:eastAsia="ru-RU"/>
        </w:rPr>
      </w:pPr>
      <w:r w:rsidRPr="00026244">
        <w:rPr>
          <w:rFonts w:ascii="Palatino Linotype" w:hAnsi="Palatino Linotype"/>
          <w:bCs/>
          <w:lang w:eastAsia="ru-RU"/>
        </w:rPr>
        <w:t xml:space="preserve">    Численность персонала на конец отчетного года   составила 2639 человек. Наблюдается качественный рост персонала.    Если в 2010 году насчитывалось 54,4%   работников с высшим образованием, то в 2011 году – 63,0% или рост составляет 8,6  процентных пунктов.</w:t>
      </w:r>
    </w:p>
    <w:p w:rsidR="00FB5F40" w:rsidRPr="00026244" w:rsidRDefault="00FB5F40" w:rsidP="006803BD">
      <w:pPr>
        <w:spacing w:after="0"/>
        <w:ind w:right="-1"/>
        <w:jc w:val="both"/>
        <w:rPr>
          <w:rFonts w:ascii="Palatino Linotype" w:hAnsi="Palatino Linotype"/>
          <w:bCs/>
          <w:lang w:eastAsia="ru-RU"/>
        </w:rPr>
      </w:pPr>
      <w:r w:rsidRPr="00026244">
        <w:rPr>
          <w:rFonts w:ascii="Palatino Linotype" w:hAnsi="Palatino Linotype"/>
          <w:bCs/>
          <w:lang w:eastAsia="ru-RU"/>
        </w:rPr>
        <w:t xml:space="preserve">      Уровень образования работников системы Амонатбанка по состоянию на 31 декабря  2011 года можно отобразить следующим образом:</w:t>
      </w:r>
    </w:p>
    <w:p w:rsidR="00FB5F40" w:rsidRPr="00026244" w:rsidRDefault="00056B74" w:rsidP="001F678E">
      <w:pPr>
        <w:spacing w:after="0"/>
        <w:ind w:firstLine="284"/>
        <w:jc w:val="both"/>
        <w:rPr>
          <w:rFonts w:ascii="Palatino Linotype" w:hAnsi="Palatino Linotype"/>
        </w:rPr>
      </w:pPr>
      <w:r w:rsidRPr="00026244">
        <w:rPr>
          <w:rFonts w:ascii="Palatino Linotype" w:hAnsi="Palatino Linotype"/>
          <w:noProof/>
          <w:color w:val="FF0000"/>
          <w:lang w:eastAsia="ru-RU"/>
        </w:rPr>
        <w:drawing>
          <wp:anchor distT="0" distB="0" distL="114300" distR="114300" simplePos="0" relativeHeight="251676160" behindDoc="0" locked="0" layoutInCell="1" allowOverlap="1" wp14:anchorId="33F00F44" wp14:editId="1B866831">
            <wp:simplePos x="0" y="0"/>
            <wp:positionH relativeFrom="column">
              <wp:posOffset>941070</wp:posOffset>
            </wp:positionH>
            <wp:positionV relativeFrom="paragraph">
              <wp:posOffset>175260</wp:posOffset>
            </wp:positionV>
            <wp:extent cx="5292725" cy="2206625"/>
            <wp:effectExtent l="0" t="0" r="22225" b="22225"/>
            <wp:wrapNone/>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056B74" w:rsidRPr="00026244" w:rsidRDefault="00056B74" w:rsidP="001F678E">
      <w:pPr>
        <w:spacing w:after="0"/>
        <w:ind w:firstLine="284"/>
        <w:jc w:val="both"/>
        <w:rPr>
          <w:rFonts w:ascii="Palatino Linotype" w:hAnsi="Palatino Linotype"/>
        </w:rPr>
      </w:pPr>
    </w:p>
    <w:p w:rsidR="00056B74" w:rsidRPr="00026244" w:rsidRDefault="00056B74" w:rsidP="001F678E">
      <w:pPr>
        <w:spacing w:after="0"/>
        <w:ind w:firstLine="284"/>
        <w:jc w:val="both"/>
        <w:rPr>
          <w:rFonts w:ascii="Palatino Linotype" w:hAnsi="Palatino Linotype"/>
        </w:rPr>
      </w:pPr>
    </w:p>
    <w:p w:rsidR="00056B74" w:rsidRPr="00026244" w:rsidRDefault="00056B74" w:rsidP="001F678E">
      <w:pPr>
        <w:spacing w:after="0"/>
        <w:ind w:firstLine="284"/>
        <w:jc w:val="both"/>
        <w:rPr>
          <w:rFonts w:ascii="Palatino Linotype" w:hAnsi="Palatino Linotype"/>
        </w:rPr>
      </w:pPr>
    </w:p>
    <w:p w:rsidR="00FB5F40" w:rsidRPr="00B50351" w:rsidRDefault="00FB5F40" w:rsidP="001F678E">
      <w:pPr>
        <w:spacing w:after="0"/>
        <w:ind w:firstLine="284"/>
        <w:jc w:val="both"/>
        <w:rPr>
          <w:rFonts w:ascii="Palatino Linotype" w:hAnsi="Palatino Linotype"/>
        </w:rPr>
      </w:pPr>
    </w:p>
    <w:p w:rsidR="00FB5F40" w:rsidRPr="00B50351" w:rsidRDefault="00FB5F40" w:rsidP="001F678E">
      <w:pPr>
        <w:spacing w:after="0"/>
        <w:ind w:firstLine="284"/>
        <w:jc w:val="both"/>
        <w:rPr>
          <w:rFonts w:ascii="Palatino Linotype" w:hAnsi="Palatino Linotype"/>
        </w:rPr>
      </w:pPr>
    </w:p>
    <w:p w:rsidR="00FB5F40" w:rsidRPr="00B50351" w:rsidRDefault="00FB5F40" w:rsidP="001F678E">
      <w:pPr>
        <w:spacing w:after="0"/>
        <w:ind w:firstLine="284"/>
        <w:jc w:val="both"/>
        <w:rPr>
          <w:rFonts w:ascii="Palatino Linotype" w:hAnsi="Palatino Linotype"/>
        </w:rPr>
      </w:pPr>
    </w:p>
    <w:p w:rsidR="00FB5F40" w:rsidRPr="00B50351" w:rsidRDefault="00FB5F40" w:rsidP="001F678E">
      <w:pPr>
        <w:spacing w:after="0"/>
        <w:ind w:firstLine="284"/>
        <w:jc w:val="both"/>
        <w:rPr>
          <w:rFonts w:ascii="Palatino Linotype" w:hAnsi="Palatino Linotype"/>
        </w:rPr>
      </w:pPr>
    </w:p>
    <w:p w:rsidR="00FB5F40" w:rsidRPr="00B50351" w:rsidRDefault="00FB5F40" w:rsidP="001F678E">
      <w:pPr>
        <w:spacing w:after="0"/>
        <w:ind w:firstLine="284"/>
        <w:jc w:val="both"/>
        <w:rPr>
          <w:rFonts w:ascii="Palatino Linotype" w:hAnsi="Palatino Linotype"/>
        </w:rPr>
      </w:pPr>
    </w:p>
    <w:p w:rsidR="00FB5F40" w:rsidRPr="00026244" w:rsidRDefault="00FB5F40" w:rsidP="00766A11">
      <w:pPr>
        <w:spacing w:after="0" w:line="324" w:lineRule="auto"/>
        <w:ind w:firstLine="284"/>
        <w:jc w:val="both"/>
        <w:rPr>
          <w:rFonts w:ascii="Palatino Linotype" w:hAnsi="Palatino Linotype"/>
          <w:bCs/>
          <w:lang w:val="en-US" w:eastAsia="ru-RU"/>
        </w:rPr>
      </w:pPr>
      <w:r w:rsidRPr="00026244">
        <w:rPr>
          <w:rFonts w:ascii="Palatino Linotype" w:hAnsi="Palatino Linotype"/>
          <w:bCs/>
          <w:lang w:val="tg-Cyrl-TJ" w:eastAsia="ru-RU"/>
        </w:rPr>
        <w:t xml:space="preserve">The HR Policy lead by the Bank in 2011 had a straight connection to the growth of the indicators of Bank’s activities. </w:t>
      </w:r>
      <w:r w:rsidRPr="00026244">
        <w:rPr>
          <w:rFonts w:ascii="Palatino Linotype" w:hAnsi="Palatino Linotype"/>
          <w:bCs/>
          <w:lang w:val="en-US" w:eastAsia="ru-RU"/>
        </w:rPr>
        <w:t>The Bank staff consists of qualified specialists in their spheres. During seeks of new specialist and while considering an issue of promotion the HR Department of the Bank takes into account not just professional characteristics of the person but also pay special attention to their personal qualities, to their aspiration for improving their professional qualification and their further development.</w:t>
      </w:r>
    </w:p>
    <w:p w:rsidR="00FB5F40" w:rsidRPr="00026244" w:rsidRDefault="00FB5F40" w:rsidP="00BA7CC6">
      <w:pPr>
        <w:spacing w:after="0" w:line="324" w:lineRule="auto"/>
        <w:jc w:val="both"/>
        <w:rPr>
          <w:rFonts w:ascii="Palatino Linotype" w:hAnsi="Palatino Linotype"/>
          <w:bCs/>
          <w:lang w:val="en-US" w:eastAsia="ru-RU"/>
        </w:rPr>
      </w:pPr>
      <w:r w:rsidRPr="00026244">
        <w:rPr>
          <w:rFonts w:ascii="Palatino Linotype" w:hAnsi="Palatino Linotype"/>
          <w:lang w:val="en-US" w:eastAsia="ru-RU"/>
        </w:rPr>
        <w:t xml:space="preserve">     The number of personnel at the end of reporting year was </w:t>
      </w:r>
      <w:r w:rsidRPr="00026244">
        <w:rPr>
          <w:rFonts w:ascii="Palatino Linotype" w:hAnsi="Palatino Linotype"/>
          <w:bCs/>
          <w:lang w:val="en-US" w:eastAsia="ru-RU"/>
        </w:rPr>
        <w:t>2639 people. The tendency towards professional growth of the staff is being observed. If in 2010 the portion of personnel with high education was 54.4%   in 2011 it increased to  63,0%  and the growth composes 8,6 pct.</w:t>
      </w:r>
    </w:p>
    <w:p w:rsidR="00FB5F40" w:rsidRPr="00026244" w:rsidRDefault="00FB5F40" w:rsidP="00BA7CC6">
      <w:pPr>
        <w:spacing w:after="0" w:line="324" w:lineRule="auto"/>
        <w:jc w:val="both"/>
        <w:rPr>
          <w:rFonts w:ascii="Palatino Linotype" w:hAnsi="Palatino Linotype"/>
          <w:bCs/>
          <w:lang w:val="en-US" w:eastAsia="ru-RU"/>
        </w:rPr>
      </w:pPr>
      <w:r w:rsidRPr="00026244">
        <w:rPr>
          <w:rFonts w:ascii="Palatino Linotype" w:hAnsi="Palatino Linotype"/>
          <w:bCs/>
          <w:lang w:val="en-US" w:eastAsia="ru-RU"/>
        </w:rPr>
        <w:t xml:space="preserve">      The education level of personnel of </w:t>
      </w:r>
      <w:proofErr w:type="spellStart"/>
      <w:r w:rsidRPr="00026244">
        <w:rPr>
          <w:rFonts w:ascii="Palatino Linotype" w:hAnsi="Palatino Linotype"/>
          <w:bCs/>
          <w:lang w:val="en-US" w:eastAsia="ru-RU"/>
        </w:rPr>
        <w:t>Amonatb</w:t>
      </w:r>
      <w:r w:rsidR="00662E5A" w:rsidRPr="00026244">
        <w:rPr>
          <w:rFonts w:ascii="Palatino Linotype" w:hAnsi="Palatino Linotype"/>
          <w:bCs/>
          <w:lang w:val="en-US" w:eastAsia="ru-RU"/>
        </w:rPr>
        <w:t>a</w:t>
      </w:r>
      <w:r w:rsidRPr="00026244">
        <w:rPr>
          <w:rFonts w:ascii="Palatino Linotype" w:hAnsi="Palatino Linotype"/>
          <w:bCs/>
          <w:lang w:val="en-US" w:eastAsia="ru-RU"/>
        </w:rPr>
        <w:t>nk</w:t>
      </w:r>
      <w:proofErr w:type="spellEnd"/>
      <w:r w:rsidRPr="00026244">
        <w:rPr>
          <w:rFonts w:ascii="Palatino Linotype" w:hAnsi="Palatino Linotype"/>
          <w:bCs/>
          <w:lang w:val="en-US" w:eastAsia="ru-RU"/>
        </w:rPr>
        <w:t xml:space="preserve"> system as of December 31, 2011 is shown in the chart below:</w:t>
      </w: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766A11" w:rsidRPr="00026244" w:rsidRDefault="00766A11" w:rsidP="001F678E">
      <w:pPr>
        <w:spacing w:after="0"/>
        <w:ind w:firstLine="284"/>
        <w:jc w:val="both"/>
        <w:rPr>
          <w:rFonts w:ascii="Palatino Linotype" w:hAnsi="Palatino Linotype"/>
          <w:lang w:val="en-US"/>
        </w:rPr>
      </w:pPr>
    </w:p>
    <w:p w:rsidR="00766A11" w:rsidRPr="00026244" w:rsidRDefault="00766A11"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BA7CC6">
      <w:pPr>
        <w:pStyle w:val="3"/>
        <w:ind w:firstLine="426"/>
        <w:jc w:val="both"/>
        <w:rPr>
          <w:rFonts w:ascii="Palatino Linotype" w:hAnsi="Palatino Linotype"/>
          <w:bCs/>
          <w:sz w:val="22"/>
          <w:szCs w:val="22"/>
          <w:lang w:eastAsia="ru-RU"/>
        </w:rPr>
      </w:pPr>
      <w:r w:rsidRPr="00026244">
        <w:rPr>
          <w:rFonts w:ascii="Palatino Linotype" w:hAnsi="Palatino Linotype"/>
          <w:bCs/>
          <w:sz w:val="22"/>
          <w:szCs w:val="22"/>
          <w:lang w:eastAsia="ru-RU"/>
        </w:rPr>
        <w:t>В соответствии с Указом Президента РТ «О повышении роли женщин в обществе» в Банке уделяется большое внимание созданию условий для творческой деятельности и поддержки специалистов-женщин. Численность женщин составляет 28.0% от общего числа работников, около 5 % из них являются руководящими работниками.</w:t>
      </w:r>
    </w:p>
    <w:p w:rsidR="00FB5F40" w:rsidRPr="00026244" w:rsidRDefault="00FB5F40" w:rsidP="00BA7CC6">
      <w:pPr>
        <w:pStyle w:val="3"/>
        <w:ind w:firstLine="426"/>
        <w:jc w:val="both"/>
        <w:rPr>
          <w:rFonts w:ascii="Palatino Linotype" w:hAnsi="Palatino Linotype"/>
          <w:bCs/>
          <w:sz w:val="22"/>
          <w:szCs w:val="22"/>
          <w:lang w:eastAsia="ru-RU"/>
        </w:rPr>
      </w:pPr>
      <w:r w:rsidRPr="00026244">
        <w:rPr>
          <w:rFonts w:ascii="Palatino Linotype" w:hAnsi="Palatino Linotype"/>
          <w:bCs/>
          <w:sz w:val="22"/>
          <w:szCs w:val="22"/>
          <w:lang w:eastAsia="ru-RU"/>
        </w:rPr>
        <w:t xml:space="preserve">Банк из года в год инвестирует в человеческий ресурс, создавая условия для профессионального роста и мотивируя сотрудников на повышение своей квалификации. В целях повышения профессионального уровня и приобретения практических навыков было организовано обучение как внутри Банка, так и в различных учебных центрах, таких как: Межбанковский учебный центр Ассоциации банков Таджикистана, </w:t>
      </w:r>
      <w:proofErr w:type="spellStart"/>
      <w:r w:rsidRPr="00026244">
        <w:rPr>
          <w:rFonts w:ascii="Palatino Linotype" w:hAnsi="Palatino Linotype"/>
          <w:bCs/>
          <w:sz w:val="22"/>
          <w:szCs w:val="22"/>
          <w:lang w:eastAsia="ru-RU"/>
        </w:rPr>
        <w:t>Нацбанк</w:t>
      </w:r>
      <w:proofErr w:type="spellEnd"/>
      <w:r w:rsidRPr="00026244">
        <w:rPr>
          <w:rFonts w:ascii="Palatino Linotype" w:hAnsi="Palatino Linotype"/>
          <w:bCs/>
          <w:sz w:val="22"/>
          <w:szCs w:val="22"/>
          <w:lang w:eastAsia="ru-RU"/>
        </w:rPr>
        <w:t xml:space="preserve"> Таджикистана, Международная финансовая корпорация, Компания Вестерн-</w:t>
      </w:r>
      <w:proofErr w:type="spellStart"/>
      <w:r w:rsidRPr="00026244">
        <w:rPr>
          <w:rFonts w:ascii="Palatino Linotype" w:hAnsi="Palatino Linotype"/>
          <w:bCs/>
          <w:sz w:val="22"/>
          <w:szCs w:val="22"/>
          <w:lang w:eastAsia="ru-RU"/>
        </w:rPr>
        <w:t>Юнион</w:t>
      </w:r>
      <w:proofErr w:type="spellEnd"/>
      <w:r w:rsidRPr="00026244">
        <w:rPr>
          <w:rFonts w:ascii="Palatino Linotype" w:hAnsi="Palatino Linotype"/>
          <w:bCs/>
          <w:sz w:val="22"/>
          <w:szCs w:val="22"/>
          <w:lang w:eastAsia="ru-RU"/>
        </w:rPr>
        <w:t>, Программа ТАFF ЕБРР,  в рамках сотрудничества МБО ШОС. Всего было  организовано 41 учебных  мероприятий.</w:t>
      </w:r>
    </w:p>
    <w:p w:rsidR="00FB5F40" w:rsidRPr="00026244" w:rsidRDefault="00FB5F40" w:rsidP="00BA7CC6">
      <w:pPr>
        <w:pStyle w:val="3"/>
        <w:ind w:firstLine="426"/>
        <w:jc w:val="both"/>
        <w:rPr>
          <w:rFonts w:ascii="Palatino Linotype" w:hAnsi="Palatino Linotype"/>
          <w:bCs/>
          <w:sz w:val="22"/>
          <w:szCs w:val="22"/>
          <w:lang w:eastAsia="ru-RU"/>
        </w:rPr>
      </w:pPr>
      <w:r w:rsidRPr="00026244">
        <w:rPr>
          <w:rFonts w:ascii="Palatino Linotype" w:hAnsi="Palatino Linotype"/>
          <w:bCs/>
          <w:sz w:val="22"/>
          <w:szCs w:val="22"/>
          <w:lang w:eastAsia="ru-RU"/>
        </w:rPr>
        <w:t xml:space="preserve">В рамках Соглашения о сотрудничестве между </w:t>
      </w:r>
      <w:proofErr w:type="spellStart"/>
      <w:r w:rsidRPr="00026244">
        <w:rPr>
          <w:rFonts w:ascii="Palatino Linotype" w:hAnsi="Palatino Linotype"/>
          <w:bCs/>
          <w:sz w:val="22"/>
          <w:szCs w:val="22"/>
          <w:lang w:eastAsia="ru-RU"/>
        </w:rPr>
        <w:t>Амонатбанком</w:t>
      </w:r>
      <w:proofErr w:type="spellEnd"/>
      <w:r w:rsidRPr="00026244">
        <w:rPr>
          <w:rFonts w:ascii="Palatino Linotype" w:hAnsi="Palatino Linotype"/>
          <w:bCs/>
          <w:sz w:val="22"/>
          <w:szCs w:val="22"/>
          <w:lang w:eastAsia="ru-RU"/>
        </w:rPr>
        <w:t xml:space="preserve"> и Государственным банком развития Китая 2 специалиста  Амонатбанка  в настоящее время обучаются в Международном колледже </w:t>
      </w:r>
      <w:proofErr w:type="spellStart"/>
      <w:r w:rsidRPr="00026244">
        <w:rPr>
          <w:rFonts w:ascii="Palatino Linotype" w:hAnsi="Palatino Linotype"/>
          <w:bCs/>
          <w:sz w:val="22"/>
          <w:szCs w:val="22"/>
          <w:lang w:eastAsia="ru-RU"/>
        </w:rPr>
        <w:t>Шандонгского</w:t>
      </w:r>
      <w:proofErr w:type="spellEnd"/>
      <w:r w:rsidRPr="00026244">
        <w:rPr>
          <w:rFonts w:ascii="Palatino Linotype" w:hAnsi="Palatino Linotype"/>
          <w:bCs/>
          <w:sz w:val="22"/>
          <w:szCs w:val="22"/>
          <w:lang w:eastAsia="ru-RU"/>
        </w:rPr>
        <w:t xml:space="preserve"> университета города </w:t>
      </w:r>
      <w:proofErr w:type="spellStart"/>
      <w:r w:rsidRPr="00026244">
        <w:rPr>
          <w:rFonts w:ascii="Palatino Linotype" w:hAnsi="Palatino Linotype"/>
          <w:bCs/>
          <w:sz w:val="22"/>
          <w:szCs w:val="22"/>
          <w:lang w:eastAsia="ru-RU"/>
        </w:rPr>
        <w:t>Джинани</w:t>
      </w:r>
      <w:proofErr w:type="spellEnd"/>
      <w:r w:rsidRPr="00026244">
        <w:rPr>
          <w:rFonts w:ascii="Palatino Linotype" w:hAnsi="Palatino Linotype"/>
          <w:bCs/>
          <w:sz w:val="22"/>
          <w:szCs w:val="22"/>
          <w:lang w:eastAsia="ru-RU"/>
        </w:rPr>
        <w:t xml:space="preserve"> Китайской Народной Республики.</w:t>
      </w:r>
    </w:p>
    <w:p w:rsidR="00FB5F40" w:rsidRPr="00026244" w:rsidRDefault="00FB5F40" w:rsidP="00BA7CC6">
      <w:pPr>
        <w:pStyle w:val="3"/>
        <w:ind w:firstLine="426"/>
        <w:jc w:val="both"/>
        <w:rPr>
          <w:rFonts w:ascii="Palatino Linotype" w:hAnsi="Palatino Linotype"/>
          <w:bCs/>
          <w:sz w:val="22"/>
          <w:szCs w:val="22"/>
          <w:lang w:eastAsia="ru-RU"/>
        </w:rPr>
      </w:pPr>
      <w:r w:rsidRPr="00026244">
        <w:rPr>
          <w:rFonts w:ascii="Palatino Linotype" w:hAnsi="Palatino Linotype"/>
          <w:bCs/>
          <w:sz w:val="22"/>
          <w:szCs w:val="22"/>
          <w:lang w:eastAsia="ru-RU"/>
        </w:rPr>
        <w:t xml:space="preserve">Были разработаны и проведены различные мероприятия, посвящённые 20-летию Государственной независимости Республики Таджикистан. Например, конкурс “Образцовый (лучший) филиал”,  товарищеские мини-футбольные матчи  за </w:t>
      </w:r>
      <w:r w:rsidRPr="00026244">
        <w:rPr>
          <w:rFonts w:ascii="Palatino Linotype" w:hAnsi="Palatino Linotype"/>
          <w:bCs/>
          <w:sz w:val="22"/>
          <w:szCs w:val="22"/>
          <w:lang w:eastAsia="ru-RU"/>
        </w:rPr>
        <w:lastRenderedPageBreak/>
        <w:t xml:space="preserve">“Кубок Амонатбанка” между 9 крупнейшими банками страны,  с участием популярных </w:t>
      </w:r>
      <w:proofErr w:type="spellStart"/>
      <w:r w:rsidRPr="00026244">
        <w:rPr>
          <w:rFonts w:ascii="Palatino Linotype" w:hAnsi="Palatino Linotype"/>
          <w:bCs/>
          <w:sz w:val="22"/>
          <w:szCs w:val="22"/>
          <w:lang w:eastAsia="ru-RU"/>
        </w:rPr>
        <w:t>деятелейискусстваи</w:t>
      </w:r>
      <w:proofErr w:type="spellEnd"/>
      <w:r w:rsidRPr="00026244">
        <w:rPr>
          <w:rFonts w:ascii="Palatino Linotype" w:hAnsi="Palatino Linotype"/>
          <w:bCs/>
          <w:sz w:val="22"/>
          <w:szCs w:val="22"/>
          <w:lang w:eastAsia="ru-RU"/>
        </w:rPr>
        <w:t xml:space="preserve"> </w:t>
      </w:r>
    </w:p>
    <w:p w:rsidR="00FB5F40" w:rsidRPr="00026244" w:rsidRDefault="00FB5F40" w:rsidP="00BA7CC6">
      <w:pPr>
        <w:pStyle w:val="3"/>
        <w:spacing w:line="324" w:lineRule="auto"/>
        <w:ind w:firstLine="567"/>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 xml:space="preserve">In accordance with the Decree of the President of the country “About raising the role of women in society” </w:t>
      </w:r>
      <w:proofErr w:type="spellStart"/>
      <w:r w:rsidRPr="00026244">
        <w:rPr>
          <w:rFonts w:ascii="Palatino Linotype" w:hAnsi="Palatino Linotype"/>
          <w:bCs/>
          <w:sz w:val="22"/>
          <w:szCs w:val="22"/>
          <w:lang w:val="en-US" w:eastAsia="ru-RU"/>
        </w:rPr>
        <w:t>Amonatb</w:t>
      </w:r>
      <w:r w:rsidR="00662E5A" w:rsidRPr="00026244">
        <w:rPr>
          <w:rFonts w:ascii="Palatino Linotype" w:hAnsi="Palatino Linotype"/>
          <w:bCs/>
          <w:sz w:val="22"/>
          <w:szCs w:val="22"/>
          <w:lang w:val="en-US" w:eastAsia="ru-RU"/>
        </w:rPr>
        <w:t>a</w:t>
      </w:r>
      <w:r w:rsidRPr="00026244">
        <w:rPr>
          <w:rFonts w:ascii="Palatino Linotype" w:hAnsi="Palatino Linotype"/>
          <w:bCs/>
          <w:sz w:val="22"/>
          <w:szCs w:val="22"/>
          <w:lang w:val="en-US" w:eastAsia="ru-RU"/>
        </w:rPr>
        <w:t>nk</w:t>
      </w:r>
      <w:proofErr w:type="spellEnd"/>
      <w:r w:rsidRPr="00026244">
        <w:rPr>
          <w:rFonts w:ascii="Palatino Linotype" w:hAnsi="Palatino Linotype"/>
          <w:bCs/>
          <w:sz w:val="22"/>
          <w:szCs w:val="22"/>
          <w:lang w:val="en-US" w:eastAsia="ru-RU"/>
        </w:rPr>
        <w:t xml:space="preserve"> pays special attention to creation of convenient working conditions and supports female specialist in every possible way. The number of women composes 28.0%  </w:t>
      </w:r>
      <w:proofErr w:type="spellStart"/>
      <w:r w:rsidRPr="00026244">
        <w:rPr>
          <w:rFonts w:ascii="Palatino Linotype" w:hAnsi="Palatino Linotype"/>
          <w:bCs/>
          <w:sz w:val="22"/>
          <w:szCs w:val="22"/>
          <w:lang w:val="en-US" w:eastAsia="ru-RU"/>
        </w:rPr>
        <w:t>o</w:t>
      </w:r>
      <w:proofErr w:type="spellEnd"/>
      <w:r w:rsidRPr="00026244">
        <w:rPr>
          <w:rFonts w:ascii="Palatino Linotype" w:hAnsi="Palatino Linotype"/>
          <w:bCs/>
          <w:sz w:val="22"/>
          <w:szCs w:val="22"/>
          <w:lang w:val="en-US" w:eastAsia="ru-RU"/>
        </w:rPr>
        <w:t xml:space="preserve"> the total number personnel and 5% of them are holding leading positions.</w:t>
      </w:r>
    </w:p>
    <w:p w:rsidR="00FB5F40" w:rsidRPr="00026244" w:rsidRDefault="00FB5F40" w:rsidP="00BA7CC6">
      <w:pPr>
        <w:pStyle w:val="3"/>
        <w:spacing w:line="324" w:lineRule="auto"/>
        <w:ind w:firstLine="284"/>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 xml:space="preserve">    From year to year </w:t>
      </w:r>
      <w:proofErr w:type="spellStart"/>
      <w:r w:rsidRPr="00026244">
        <w:rPr>
          <w:rFonts w:ascii="Palatino Linotype" w:hAnsi="Palatino Linotype"/>
          <w:bCs/>
          <w:sz w:val="22"/>
          <w:szCs w:val="22"/>
          <w:lang w:val="en-US" w:eastAsia="ru-RU"/>
        </w:rPr>
        <w:t>Amonatb</w:t>
      </w:r>
      <w:r w:rsidR="00662E5A" w:rsidRPr="00026244">
        <w:rPr>
          <w:rFonts w:ascii="Palatino Linotype" w:hAnsi="Palatino Linotype"/>
          <w:bCs/>
          <w:sz w:val="22"/>
          <w:szCs w:val="22"/>
          <w:lang w:val="en-US" w:eastAsia="ru-RU"/>
        </w:rPr>
        <w:t>a</w:t>
      </w:r>
      <w:r w:rsidRPr="00026244">
        <w:rPr>
          <w:rFonts w:ascii="Palatino Linotype" w:hAnsi="Palatino Linotype"/>
          <w:bCs/>
          <w:sz w:val="22"/>
          <w:szCs w:val="22"/>
          <w:lang w:val="en-US" w:eastAsia="ru-RU"/>
        </w:rPr>
        <w:t>nk</w:t>
      </w:r>
      <w:proofErr w:type="spellEnd"/>
      <w:r w:rsidRPr="00026244">
        <w:rPr>
          <w:rFonts w:ascii="Palatino Linotype" w:hAnsi="Palatino Linotype"/>
          <w:bCs/>
          <w:sz w:val="22"/>
          <w:szCs w:val="22"/>
          <w:lang w:val="en-US" w:eastAsia="ru-RU"/>
        </w:rPr>
        <w:t xml:space="preserve"> invests more and more into human resources by creating conditions and opportunities for their professional development and motivating the staff to improve their qualification. With a view to improve the professional level and receiving practical skills a number of trainings in different training centers were organized, such as: Inter-Bank Training Center of association of Banks of Tajikistan, NBT, International Financial Corporation, Western Union, TAFF Program of EBRD and trainings within the bo</w:t>
      </w:r>
      <w:r w:rsidR="003306BA" w:rsidRPr="00026244">
        <w:rPr>
          <w:rFonts w:ascii="Palatino Linotype" w:hAnsi="Palatino Linotype"/>
          <w:bCs/>
          <w:sz w:val="22"/>
          <w:szCs w:val="22"/>
          <w:lang w:val="en-US" w:eastAsia="ru-RU"/>
        </w:rPr>
        <w:t>u</w:t>
      </w:r>
      <w:r w:rsidRPr="00026244">
        <w:rPr>
          <w:rFonts w:ascii="Palatino Linotype" w:hAnsi="Palatino Linotype"/>
          <w:bCs/>
          <w:sz w:val="22"/>
          <w:szCs w:val="22"/>
          <w:lang w:val="en-US" w:eastAsia="ru-RU"/>
        </w:rPr>
        <w:t>nds of IBC SCO. All in  41 different training centers.</w:t>
      </w:r>
    </w:p>
    <w:p w:rsidR="00FB5F40" w:rsidRPr="00026244" w:rsidRDefault="00FB5F40" w:rsidP="00BA7CC6">
      <w:pPr>
        <w:pStyle w:val="3"/>
        <w:spacing w:line="324" w:lineRule="auto"/>
        <w:ind w:firstLine="284"/>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 xml:space="preserve">  According to the signed Agreement between </w:t>
      </w:r>
      <w:proofErr w:type="spellStart"/>
      <w:r w:rsidRPr="00026244">
        <w:rPr>
          <w:rFonts w:ascii="Palatino Linotype" w:hAnsi="Palatino Linotype"/>
          <w:bCs/>
          <w:sz w:val="22"/>
          <w:szCs w:val="22"/>
          <w:lang w:val="en-US" w:eastAsia="ru-RU"/>
        </w:rPr>
        <w:t>Amonatb</w:t>
      </w:r>
      <w:r w:rsidR="00662E5A" w:rsidRPr="00026244">
        <w:rPr>
          <w:rFonts w:ascii="Palatino Linotype" w:hAnsi="Palatino Linotype"/>
          <w:bCs/>
          <w:sz w:val="22"/>
          <w:szCs w:val="22"/>
          <w:lang w:val="en-US" w:eastAsia="ru-RU"/>
        </w:rPr>
        <w:t>a</w:t>
      </w:r>
      <w:r w:rsidRPr="00026244">
        <w:rPr>
          <w:rFonts w:ascii="Palatino Linotype" w:hAnsi="Palatino Linotype"/>
          <w:bCs/>
          <w:sz w:val="22"/>
          <w:szCs w:val="22"/>
          <w:lang w:val="en-US" w:eastAsia="ru-RU"/>
        </w:rPr>
        <w:t>nk</w:t>
      </w:r>
      <w:proofErr w:type="spellEnd"/>
      <w:r w:rsidRPr="00026244">
        <w:rPr>
          <w:rFonts w:ascii="Palatino Linotype" w:hAnsi="Palatino Linotype"/>
          <w:bCs/>
          <w:sz w:val="22"/>
          <w:szCs w:val="22"/>
          <w:lang w:val="en-US" w:eastAsia="ru-RU"/>
        </w:rPr>
        <w:t xml:space="preserve"> and CDB 2 specialist of </w:t>
      </w:r>
      <w:proofErr w:type="spellStart"/>
      <w:r w:rsidRPr="00026244">
        <w:rPr>
          <w:rFonts w:ascii="Palatino Linotype" w:hAnsi="Palatino Linotype"/>
          <w:bCs/>
          <w:sz w:val="22"/>
          <w:szCs w:val="22"/>
          <w:lang w:val="en-US" w:eastAsia="ru-RU"/>
        </w:rPr>
        <w:t>Amonatb</w:t>
      </w:r>
      <w:r w:rsidR="00662E5A" w:rsidRPr="00026244">
        <w:rPr>
          <w:rFonts w:ascii="Palatino Linotype" w:hAnsi="Palatino Linotype"/>
          <w:bCs/>
          <w:sz w:val="22"/>
          <w:szCs w:val="22"/>
          <w:lang w:val="en-US" w:eastAsia="ru-RU"/>
        </w:rPr>
        <w:t>a</w:t>
      </w:r>
      <w:r w:rsidRPr="00026244">
        <w:rPr>
          <w:rFonts w:ascii="Palatino Linotype" w:hAnsi="Palatino Linotype"/>
          <w:bCs/>
          <w:sz w:val="22"/>
          <w:szCs w:val="22"/>
          <w:lang w:val="en-US" w:eastAsia="ru-RU"/>
        </w:rPr>
        <w:t>nk</w:t>
      </w:r>
      <w:proofErr w:type="spellEnd"/>
      <w:r w:rsidRPr="00026244">
        <w:rPr>
          <w:rFonts w:ascii="Palatino Linotype" w:hAnsi="Palatino Linotype"/>
          <w:bCs/>
          <w:sz w:val="22"/>
          <w:szCs w:val="22"/>
          <w:lang w:val="en-US" w:eastAsia="ru-RU"/>
        </w:rPr>
        <w:t xml:space="preserve"> are involved in the study at International </w:t>
      </w:r>
      <w:proofErr w:type="spellStart"/>
      <w:r w:rsidRPr="00026244">
        <w:rPr>
          <w:rFonts w:ascii="Palatino Linotype" w:hAnsi="Palatino Linotype"/>
          <w:bCs/>
          <w:sz w:val="22"/>
          <w:szCs w:val="22"/>
          <w:lang w:val="en-US" w:eastAsia="ru-RU"/>
        </w:rPr>
        <w:t>Shangdon</w:t>
      </w:r>
      <w:proofErr w:type="spellEnd"/>
      <w:r w:rsidRPr="00026244">
        <w:rPr>
          <w:rFonts w:ascii="Palatino Linotype" w:hAnsi="Palatino Linotype"/>
          <w:bCs/>
          <w:sz w:val="22"/>
          <w:szCs w:val="22"/>
          <w:lang w:val="en-US" w:eastAsia="ru-RU"/>
        </w:rPr>
        <w:t xml:space="preserve"> Collage in Jinan city of China.</w:t>
      </w:r>
    </w:p>
    <w:p w:rsidR="00FB5F40" w:rsidRPr="00026244" w:rsidRDefault="00FB5F40" w:rsidP="00223FC3">
      <w:pPr>
        <w:spacing w:after="0" w:line="324" w:lineRule="auto"/>
        <w:jc w:val="both"/>
        <w:rPr>
          <w:rFonts w:ascii="Palatino Linotype" w:hAnsi="Palatino Linotype"/>
          <w:lang w:val="en-US"/>
        </w:rPr>
      </w:pPr>
      <w:r w:rsidRPr="00026244">
        <w:rPr>
          <w:rFonts w:ascii="Palatino Linotype" w:hAnsi="Palatino Linotype"/>
          <w:bCs/>
          <w:lang w:val="en-US" w:eastAsia="ru-RU"/>
        </w:rPr>
        <w:t>Different events devoted to 20</w:t>
      </w:r>
      <w:r w:rsidRPr="00026244">
        <w:rPr>
          <w:rFonts w:ascii="Palatino Linotype" w:hAnsi="Palatino Linotype"/>
          <w:bCs/>
          <w:vertAlign w:val="superscript"/>
          <w:lang w:val="en-US" w:eastAsia="ru-RU"/>
        </w:rPr>
        <w:t>th</w:t>
      </w:r>
      <w:r w:rsidRPr="00026244">
        <w:rPr>
          <w:rFonts w:ascii="Palatino Linotype" w:hAnsi="Palatino Linotype"/>
          <w:bCs/>
          <w:lang w:val="en-US" w:eastAsia="ru-RU"/>
        </w:rPr>
        <w:t xml:space="preserve"> anniversary of Tajikistan Independence were planned and held: competition between the branches of </w:t>
      </w:r>
      <w:proofErr w:type="spellStart"/>
      <w:r w:rsidRPr="00026244">
        <w:rPr>
          <w:rFonts w:ascii="Palatino Linotype" w:hAnsi="Palatino Linotype"/>
          <w:bCs/>
          <w:lang w:val="en-US" w:eastAsia="ru-RU"/>
        </w:rPr>
        <w:t>Amonatb</w:t>
      </w:r>
      <w:r w:rsidR="00662E5A" w:rsidRPr="00026244">
        <w:rPr>
          <w:rFonts w:ascii="Palatino Linotype" w:hAnsi="Palatino Linotype"/>
          <w:bCs/>
          <w:lang w:val="en-US" w:eastAsia="ru-RU"/>
        </w:rPr>
        <w:t>a</w:t>
      </w:r>
      <w:r w:rsidRPr="00026244">
        <w:rPr>
          <w:rFonts w:ascii="Palatino Linotype" w:hAnsi="Palatino Linotype"/>
          <w:bCs/>
          <w:lang w:val="en-US" w:eastAsia="ru-RU"/>
        </w:rPr>
        <w:t>nk</w:t>
      </w:r>
      <w:proofErr w:type="spellEnd"/>
      <w:r w:rsidRPr="00026244">
        <w:rPr>
          <w:rFonts w:ascii="Palatino Linotype" w:hAnsi="Palatino Linotype"/>
          <w:bCs/>
          <w:lang w:val="en-US" w:eastAsia="ru-RU"/>
        </w:rPr>
        <w:t xml:space="preserve"> for winning the title of  “The best model branch”, friendly mini-football match for </w:t>
      </w:r>
      <w:r w:rsidRPr="00026244">
        <w:rPr>
          <w:rFonts w:ascii="Palatino Linotype" w:hAnsi="Palatino Linotype"/>
          <w:bCs/>
          <w:lang w:val="en-US" w:eastAsia="ru-RU"/>
        </w:rPr>
        <w:lastRenderedPageBreak/>
        <w:t>“</w:t>
      </w:r>
      <w:proofErr w:type="spellStart"/>
      <w:r w:rsidRPr="00026244">
        <w:rPr>
          <w:rFonts w:ascii="Palatino Linotype" w:hAnsi="Palatino Linotype"/>
          <w:bCs/>
          <w:lang w:val="en-US" w:eastAsia="ru-RU"/>
        </w:rPr>
        <w:t>Amonatb</w:t>
      </w:r>
      <w:r w:rsidR="00662E5A" w:rsidRPr="00026244">
        <w:rPr>
          <w:rFonts w:ascii="Palatino Linotype" w:hAnsi="Palatino Linotype"/>
          <w:bCs/>
          <w:lang w:val="en-US" w:eastAsia="ru-RU"/>
        </w:rPr>
        <w:t>a</w:t>
      </w:r>
      <w:r w:rsidRPr="00026244">
        <w:rPr>
          <w:rFonts w:ascii="Palatino Linotype" w:hAnsi="Palatino Linotype"/>
          <w:bCs/>
          <w:lang w:val="en-US" w:eastAsia="ru-RU"/>
        </w:rPr>
        <w:t>nk</w:t>
      </w:r>
      <w:proofErr w:type="spellEnd"/>
      <w:r w:rsidRPr="00026244">
        <w:rPr>
          <w:rFonts w:ascii="Palatino Linotype" w:hAnsi="Palatino Linotype"/>
          <w:bCs/>
          <w:lang w:val="en-US" w:eastAsia="ru-RU"/>
        </w:rPr>
        <w:t xml:space="preserve"> Cup” was held between 9 biggest banks of Tajikistan and International holiday   “</w:t>
      </w:r>
      <w:proofErr w:type="spellStart"/>
      <w:r w:rsidRPr="00026244">
        <w:rPr>
          <w:rFonts w:ascii="Palatino Linotype" w:hAnsi="Palatino Linotype"/>
          <w:bCs/>
          <w:lang w:val="en-US" w:eastAsia="ru-RU"/>
        </w:rPr>
        <w:t>Navruz</w:t>
      </w:r>
      <w:proofErr w:type="spellEnd"/>
      <w:r w:rsidRPr="00026244">
        <w:rPr>
          <w:rFonts w:ascii="Palatino Linotype" w:hAnsi="Palatino Linotype"/>
          <w:bCs/>
          <w:lang w:val="en-US" w:eastAsia="ru-RU"/>
        </w:rPr>
        <w:t xml:space="preserve">”    was    celebrated   in   the </w:t>
      </w:r>
    </w:p>
    <w:p w:rsidR="00FB5F40" w:rsidRPr="00026244" w:rsidRDefault="00FB5F40" w:rsidP="00BA7CC6">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литературы республики на высоком уровне был проведен Международный праздник “</w:t>
      </w:r>
      <w:proofErr w:type="spellStart"/>
      <w:r w:rsidRPr="00026244">
        <w:rPr>
          <w:rFonts w:ascii="Palatino Linotype" w:hAnsi="Palatino Linotype"/>
          <w:bCs/>
          <w:sz w:val="22"/>
          <w:szCs w:val="22"/>
          <w:lang w:eastAsia="ru-RU"/>
        </w:rPr>
        <w:t>Наврўз</w:t>
      </w:r>
      <w:proofErr w:type="spellEnd"/>
      <w:r w:rsidRPr="00026244">
        <w:rPr>
          <w:rFonts w:ascii="Palatino Linotype" w:hAnsi="Palatino Linotype"/>
          <w:bCs/>
          <w:sz w:val="22"/>
          <w:szCs w:val="22"/>
          <w:lang w:eastAsia="ru-RU"/>
        </w:rPr>
        <w:t>”.</w:t>
      </w:r>
    </w:p>
    <w:p w:rsidR="00FB5F40" w:rsidRPr="00026244" w:rsidRDefault="00FB5F40" w:rsidP="00BA7CC6">
      <w:pPr>
        <w:pStyle w:val="3"/>
        <w:ind w:firstLine="426"/>
        <w:jc w:val="both"/>
        <w:rPr>
          <w:rFonts w:ascii="Palatino Linotype" w:hAnsi="Palatino Linotype"/>
          <w:bCs/>
          <w:sz w:val="22"/>
          <w:szCs w:val="22"/>
          <w:lang w:eastAsia="ru-RU"/>
        </w:rPr>
      </w:pPr>
      <w:r w:rsidRPr="00026244">
        <w:rPr>
          <w:rFonts w:ascii="Palatino Linotype" w:hAnsi="Palatino Linotype"/>
          <w:bCs/>
          <w:sz w:val="22"/>
          <w:szCs w:val="22"/>
          <w:lang w:eastAsia="ru-RU"/>
        </w:rPr>
        <w:t xml:space="preserve">В канун празднования 20-летия Государственной независимости Республики Таджикистан 6 лучших специалистов  системы Амонатбанка были удостоены государственных наград Республики Таджикистан.  </w:t>
      </w: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223FC3">
      <w:pPr>
        <w:spacing w:after="0" w:line="324" w:lineRule="auto"/>
        <w:jc w:val="both"/>
        <w:rPr>
          <w:rFonts w:ascii="Palatino Linotype" w:hAnsi="Palatino Linotype"/>
          <w:bCs/>
          <w:lang w:val="en-US" w:eastAsia="ru-RU"/>
        </w:rPr>
      </w:pPr>
      <w:r w:rsidRPr="00026244">
        <w:rPr>
          <w:rFonts w:ascii="Palatino Linotype" w:hAnsi="Palatino Linotype"/>
          <w:bCs/>
          <w:lang w:val="en-US" w:eastAsia="ru-RU"/>
        </w:rPr>
        <w:t>required level with participation of popular artists, poets and writers.</w:t>
      </w:r>
    </w:p>
    <w:p w:rsidR="00FB5F40" w:rsidRPr="00026244" w:rsidRDefault="00FB5F40" w:rsidP="00BA7CC6">
      <w:pPr>
        <w:spacing w:after="0" w:line="324" w:lineRule="auto"/>
        <w:ind w:firstLine="284"/>
        <w:jc w:val="both"/>
        <w:rPr>
          <w:rFonts w:ascii="Palatino Linotype" w:hAnsi="Palatino Linotype"/>
          <w:bCs/>
          <w:lang w:val="en-US" w:eastAsia="ru-RU"/>
        </w:rPr>
      </w:pPr>
    </w:p>
    <w:p w:rsidR="00FB5F40" w:rsidRPr="00026244" w:rsidRDefault="00FB5F40" w:rsidP="00BA7CC6">
      <w:pPr>
        <w:pStyle w:val="3"/>
        <w:spacing w:line="324" w:lineRule="auto"/>
        <w:ind w:firstLine="425"/>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At the eve of 20</w:t>
      </w:r>
      <w:r w:rsidRPr="00026244">
        <w:rPr>
          <w:rFonts w:ascii="Palatino Linotype" w:hAnsi="Palatino Linotype"/>
          <w:bCs/>
          <w:sz w:val="22"/>
          <w:szCs w:val="22"/>
          <w:vertAlign w:val="superscript"/>
          <w:lang w:val="en-US" w:eastAsia="ru-RU"/>
        </w:rPr>
        <w:t>th</w:t>
      </w:r>
      <w:r w:rsidRPr="00026244">
        <w:rPr>
          <w:rFonts w:ascii="Palatino Linotype" w:hAnsi="Palatino Linotype"/>
          <w:bCs/>
          <w:sz w:val="22"/>
          <w:szCs w:val="22"/>
          <w:lang w:val="en-US" w:eastAsia="ru-RU"/>
        </w:rPr>
        <w:t xml:space="preserve"> anniversary Tajikistan’s Independence 6 best specialists of the Bank were awarded with State Awards of the Republic of Tajikistan.  </w:t>
      </w: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8E7567">
      <w:pPr>
        <w:spacing w:after="0"/>
        <w:jc w:val="both"/>
        <w:rPr>
          <w:rFonts w:ascii="Palatino Linotype" w:hAnsi="Palatino Linotype"/>
          <w:b/>
          <w:sz w:val="24"/>
          <w:szCs w:val="24"/>
          <w:lang w:val="tg-Cyrl-TJ"/>
        </w:rPr>
        <w:sectPr w:rsidR="00FB5F40" w:rsidRPr="00026244" w:rsidSect="00EF010A">
          <w:type w:val="continuous"/>
          <w:pgSz w:w="11906" w:h="16838"/>
          <w:pgMar w:top="1134" w:right="850" w:bottom="1134" w:left="1134" w:header="708" w:footer="708" w:gutter="0"/>
          <w:cols w:num="2" w:space="566"/>
          <w:docGrid w:linePitch="360"/>
        </w:sectPr>
      </w:pPr>
    </w:p>
    <w:p w:rsidR="00FB5F40" w:rsidRPr="00026244" w:rsidRDefault="00FB5F40" w:rsidP="008E7567">
      <w:pPr>
        <w:spacing w:after="0"/>
        <w:jc w:val="both"/>
        <w:rPr>
          <w:rFonts w:ascii="Palatino Linotype" w:hAnsi="Palatino Linotype"/>
          <w:b/>
          <w:color w:val="006600"/>
          <w:sz w:val="28"/>
          <w:szCs w:val="28"/>
        </w:rPr>
      </w:pPr>
      <w:r w:rsidRPr="00026244">
        <w:rPr>
          <w:rFonts w:ascii="Palatino Linotype" w:hAnsi="Palatino Linotype"/>
          <w:b/>
          <w:color w:val="006600"/>
          <w:sz w:val="28"/>
          <w:szCs w:val="28"/>
          <w:lang w:val="tg-Cyrl-TJ"/>
        </w:rPr>
        <w:lastRenderedPageBreak/>
        <w:t>БЛАГОТВОРИТЕЛЬНОСТЬ БАНКА</w:t>
      </w:r>
    </w:p>
    <w:p w:rsidR="00FB5F40" w:rsidRPr="00026244" w:rsidRDefault="00FB5F40" w:rsidP="008E7567">
      <w:pPr>
        <w:spacing w:after="0"/>
        <w:rPr>
          <w:rFonts w:ascii="Palatino Linotype" w:hAnsi="Palatino Linotype"/>
          <w:b/>
          <w:color w:val="7030A0"/>
          <w:sz w:val="28"/>
          <w:szCs w:val="28"/>
        </w:rPr>
      </w:pPr>
      <w:r w:rsidRPr="00026244">
        <w:rPr>
          <w:rFonts w:ascii="Palatino Linotype" w:hAnsi="Palatino Linotype"/>
          <w:b/>
          <w:color w:val="7030A0"/>
          <w:sz w:val="28"/>
          <w:szCs w:val="28"/>
          <w:lang w:val="en-US"/>
        </w:rPr>
        <w:t>CHARITY</w:t>
      </w:r>
    </w:p>
    <w:p w:rsidR="00FB5F40" w:rsidRPr="00026244" w:rsidRDefault="00FB5F40" w:rsidP="008E7567">
      <w:pPr>
        <w:spacing w:after="0"/>
        <w:jc w:val="both"/>
        <w:rPr>
          <w:rFonts w:ascii="Palatino Linotype" w:hAnsi="Palatino Linotype"/>
          <w:b/>
          <w:sz w:val="24"/>
          <w:szCs w:val="24"/>
        </w:rPr>
        <w:sectPr w:rsidR="00FB5F40" w:rsidRPr="00026244" w:rsidSect="008E7567">
          <w:type w:val="continuous"/>
          <w:pgSz w:w="11906" w:h="16838"/>
          <w:pgMar w:top="1134" w:right="850" w:bottom="1134" w:left="1134" w:header="708" w:footer="708" w:gutter="0"/>
          <w:cols w:space="566"/>
          <w:docGrid w:linePitch="360"/>
        </w:sectPr>
      </w:pPr>
    </w:p>
    <w:p w:rsidR="00FB5F40" w:rsidRPr="00026244" w:rsidRDefault="00FB5F40" w:rsidP="008E7567">
      <w:pPr>
        <w:spacing w:after="0"/>
        <w:ind w:firstLine="284"/>
        <w:jc w:val="both"/>
        <w:rPr>
          <w:rFonts w:ascii="Palatino Linotype" w:hAnsi="Palatino Linotype"/>
          <w:lang w:val="tg-Cyrl-TJ"/>
        </w:rPr>
      </w:pPr>
      <w:r w:rsidRPr="00026244">
        <w:rPr>
          <w:rFonts w:ascii="Palatino Linotype" w:hAnsi="Palatino Linotype"/>
          <w:lang w:val="tg-Cyrl-TJ"/>
        </w:rPr>
        <w:lastRenderedPageBreak/>
        <w:t>Следуя принципам социальной ответственности бизнеса Амонатбанк с каждым годом расширяет программу своей благотворительной деятельности.</w:t>
      </w:r>
    </w:p>
    <w:p w:rsidR="00FB5F40" w:rsidRPr="00026244" w:rsidRDefault="00FB5F40" w:rsidP="008E7567">
      <w:pPr>
        <w:spacing w:after="0"/>
        <w:ind w:firstLine="284"/>
        <w:jc w:val="both"/>
        <w:rPr>
          <w:rFonts w:ascii="Palatino Linotype" w:hAnsi="Palatino Linotype"/>
          <w:lang w:val="tg-Cyrl-TJ"/>
        </w:rPr>
      </w:pPr>
      <w:r w:rsidRPr="00026244">
        <w:rPr>
          <w:rFonts w:ascii="Palatino Linotype" w:hAnsi="Palatino Linotype"/>
          <w:lang w:val="tg-Cyrl-TJ"/>
        </w:rPr>
        <w:t>Банк, как и в предыдущие годы, оказывает регулярную материальную поддержку школы интернату №1 для детей сирот, расположенного в поселке Сомониён, района Рудаки, в виде продуктов питания, школьных принадлежностей, подарков на различные праздники. Так например, только в 2011 году в честь празднования Международного праздника Навруз, 20 летия Государственной независимости РТ и других праздников 300 сиротам данной школы-интерната оказана материальная помощь  около 80 тыс. сомони.</w:t>
      </w:r>
    </w:p>
    <w:p w:rsidR="00FB5F40" w:rsidRPr="00026244" w:rsidRDefault="00FB5F40" w:rsidP="008E7567">
      <w:pPr>
        <w:spacing w:after="0"/>
        <w:ind w:firstLine="284"/>
        <w:jc w:val="both"/>
        <w:rPr>
          <w:rFonts w:ascii="Palatino Linotype" w:hAnsi="Palatino Linotype"/>
          <w:lang w:val="tg-Cyrl-TJ"/>
        </w:rPr>
      </w:pPr>
      <w:r w:rsidRPr="00026244">
        <w:rPr>
          <w:rFonts w:ascii="Palatino Linotype" w:hAnsi="Palatino Linotype"/>
          <w:lang w:val="tg-Cyrl-TJ"/>
        </w:rPr>
        <w:t>Необходимо отметить, что Амонатбанк в 2011 году явился инициатором нового вида социальной поддержки воспитанников курируемой школы. Так, 50 воспитанникам данной школы-интерната в качестве отдельной благотоворительной помощи были открыты срочные депозитные счета.</w:t>
      </w:r>
    </w:p>
    <w:p w:rsidR="00FB5F40" w:rsidRPr="00026244" w:rsidRDefault="00FB5F40" w:rsidP="001F678E">
      <w:pPr>
        <w:spacing w:after="0"/>
        <w:ind w:firstLine="284"/>
        <w:jc w:val="both"/>
        <w:rPr>
          <w:rFonts w:ascii="Palatino Linotype" w:hAnsi="Palatino Linotype"/>
          <w:lang w:val="tg-Cyrl-TJ"/>
        </w:rPr>
      </w:pPr>
      <w:r w:rsidRPr="00026244">
        <w:rPr>
          <w:rFonts w:ascii="Palatino Linotype" w:hAnsi="Palatino Linotype"/>
          <w:lang w:val="tg-Cyrl-TJ"/>
        </w:rPr>
        <w:t>Также на протяжении нескольких лет банк уделяет особое внимание оказанию материальной помощи Ветеранам Великой Отечественной войны и ветеранам труда.</w:t>
      </w:r>
    </w:p>
    <w:p w:rsidR="00FB5F40" w:rsidRPr="00026244" w:rsidRDefault="00FB5F40" w:rsidP="00D61A97">
      <w:pPr>
        <w:spacing w:after="0"/>
        <w:ind w:firstLine="284"/>
        <w:jc w:val="both"/>
        <w:rPr>
          <w:rFonts w:ascii="Palatino Linotype" w:hAnsi="Palatino Linotype"/>
          <w:sz w:val="24"/>
          <w:szCs w:val="24"/>
          <w:lang w:val="tg-Cyrl-TJ"/>
        </w:rPr>
      </w:pPr>
      <w:r w:rsidRPr="00026244">
        <w:rPr>
          <w:rFonts w:ascii="Palatino Linotype" w:hAnsi="Palatino Linotype"/>
          <w:lang w:val="tg-Cyrl-TJ"/>
        </w:rPr>
        <w:t xml:space="preserve">Кроме того, Амонатбанк активно участвует в поддержке проводимых в республике различных культурно-образовательных проектов, способствующих сохранению исторических ценностей нашего народа. В частности,  в 2011 году Банк продолжил осуществлять оказание спонсорской поддержки для проведения фестиваля “Чакомаи гесу”, фестиваля </w:t>
      </w:r>
      <w:r w:rsidRPr="00026244">
        <w:rPr>
          <w:rFonts w:ascii="Palatino Linotype" w:hAnsi="Palatino Linotype"/>
          <w:lang w:val="tg-Cyrl-TJ"/>
        </w:rPr>
        <w:lastRenderedPageBreak/>
        <w:t>художественной самодеятельности инвалидов “Ганчи нухуфта” (“Скрытые</w:t>
      </w:r>
    </w:p>
    <w:p w:rsidR="00FB5F40" w:rsidRPr="00026244" w:rsidRDefault="00FB5F40" w:rsidP="00D61A97">
      <w:pPr>
        <w:spacing w:after="0" w:line="324" w:lineRule="auto"/>
        <w:ind w:firstLine="425"/>
        <w:jc w:val="both"/>
        <w:rPr>
          <w:rFonts w:ascii="Palatino Linotype" w:hAnsi="Palatino Linotype"/>
          <w:lang w:val="tg-Cyrl-TJ"/>
        </w:rPr>
      </w:pPr>
      <w:r w:rsidRPr="00026244">
        <w:rPr>
          <w:rFonts w:ascii="Palatino Linotype" w:hAnsi="Palatino Linotype"/>
          <w:lang w:val="en-US"/>
        </w:rPr>
        <w:t xml:space="preserve">Following the social responsibility of the business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every year broadens the scope of its charity program</w:t>
      </w:r>
      <w:r w:rsidRPr="00026244">
        <w:rPr>
          <w:rFonts w:ascii="Palatino Linotype" w:hAnsi="Palatino Linotype"/>
          <w:lang w:val="tg-Cyrl-TJ"/>
        </w:rPr>
        <w:t>.</w:t>
      </w:r>
    </w:p>
    <w:p w:rsidR="00FB5F40" w:rsidRPr="00026244" w:rsidRDefault="00FB5F40" w:rsidP="00D61A97">
      <w:pPr>
        <w:spacing w:after="0" w:line="324" w:lineRule="auto"/>
        <w:ind w:firstLine="425"/>
        <w:jc w:val="both"/>
        <w:rPr>
          <w:rFonts w:ascii="Palatino Linotype" w:hAnsi="Palatino Linotype"/>
          <w:lang w:val="tg-Cyrl-TJ"/>
        </w:rPr>
      </w:pPr>
      <w:r w:rsidRPr="00026244">
        <w:rPr>
          <w:rFonts w:ascii="Palatino Linotype" w:hAnsi="Palatino Linotype"/>
          <w:lang w:val="tg-Cyrl-TJ"/>
        </w:rPr>
        <w:t>Continuing the past years initiatives Amonatb</w:t>
      </w:r>
      <w:r w:rsidR="00662E5A" w:rsidRPr="00026244">
        <w:rPr>
          <w:rFonts w:ascii="Palatino Linotype" w:hAnsi="Palatino Linotype"/>
          <w:lang w:val="en-US"/>
        </w:rPr>
        <w:t>a</w:t>
      </w:r>
      <w:r w:rsidRPr="00026244">
        <w:rPr>
          <w:rFonts w:ascii="Palatino Linotype" w:hAnsi="Palatino Linotype"/>
          <w:lang w:val="tg-Cyrl-TJ"/>
        </w:rPr>
        <w:t>nk renders material assistance to the orphans of boarding school №1 located in Somoniyon village of Rudaki district. The assistance was provided in the form of food, school belongings, present for different holidays.</w:t>
      </w:r>
      <w:r w:rsidRPr="00026244">
        <w:rPr>
          <w:rFonts w:ascii="Palatino Linotype" w:hAnsi="Palatino Linotype"/>
          <w:lang w:val="en-US"/>
        </w:rPr>
        <w:t xml:space="preserve"> For example</w:t>
      </w:r>
      <w:r w:rsidRPr="00026244">
        <w:rPr>
          <w:rFonts w:ascii="Palatino Linotype" w:hAnsi="Palatino Linotype"/>
          <w:lang w:val="tg-Cyrl-TJ"/>
        </w:rPr>
        <w:t xml:space="preserve">, </w:t>
      </w:r>
      <w:r w:rsidRPr="00026244">
        <w:rPr>
          <w:rFonts w:ascii="Palatino Linotype" w:hAnsi="Palatino Linotype"/>
          <w:lang w:val="en-US"/>
        </w:rPr>
        <w:t xml:space="preserve">in </w:t>
      </w:r>
      <w:r w:rsidRPr="00026244">
        <w:rPr>
          <w:rFonts w:ascii="Palatino Linotype" w:hAnsi="Palatino Linotype"/>
          <w:lang w:val="tg-Cyrl-TJ"/>
        </w:rPr>
        <w:t xml:space="preserve">2011 </w:t>
      </w:r>
      <w:r w:rsidRPr="00026244">
        <w:rPr>
          <w:rFonts w:ascii="Palatino Linotype" w:hAnsi="Palatino Linotype"/>
          <w:lang w:val="en-US"/>
        </w:rPr>
        <w:t>on the occasion of International holiday “</w:t>
      </w:r>
      <w:proofErr w:type="spellStart"/>
      <w:r w:rsidRPr="00026244">
        <w:rPr>
          <w:rFonts w:ascii="Palatino Linotype" w:hAnsi="Palatino Linotype"/>
          <w:lang w:val="en-US"/>
        </w:rPr>
        <w:t>Navruz</w:t>
      </w:r>
      <w:proofErr w:type="spellEnd"/>
      <w:r w:rsidRPr="00026244">
        <w:rPr>
          <w:rFonts w:ascii="Palatino Linotype" w:hAnsi="Palatino Linotype"/>
          <w:lang w:val="en-US"/>
        </w:rPr>
        <w:t>”, 20</w:t>
      </w:r>
      <w:r w:rsidRPr="00026244">
        <w:rPr>
          <w:rFonts w:ascii="Palatino Linotype" w:hAnsi="Palatino Linotype"/>
          <w:vertAlign w:val="superscript"/>
          <w:lang w:val="en-US"/>
        </w:rPr>
        <w:t>th</w:t>
      </w:r>
      <w:r w:rsidRPr="00026244">
        <w:rPr>
          <w:rFonts w:ascii="Palatino Linotype" w:hAnsi="Palatino Linotype"/>
          <w:lang w:val="en-US"/>
        </w:rPr>
        <w:t xml:space="preserve"> anniversary of Tajikistan Independence and some other occasions to 300 orphans of this school was allocated financial assistance to the sum of  </w:t>
      </w:r>
      <w:r w:rsidRPr="00026244">
        <w:rPr>
          <w:rFonts w:ascii="Palatino Linotype" w:hAnsi="Palatino Linotype"/>
          <w:lang w:val="tg-Cyrl-TJ"/>
        </w:rPr>
        <w:t xml:space="preserve">80 </w:t>
      </w:r>
      <w:r w:rsidRPr="00026244">
        <w:rPr>
          <w:rFonts w:ascii="Palatino Linotype" w:hAnsi="Palatino Linotype"/>
          <w:lang w:val="en-US"/>
        </w:rPr>
        <w:t>thousand TJS</w:t>
      </w:r>
      <w:r w:rsidRPr="00026244">
        <w:rPr>
          <w:rFonts w:ascii="Palatino Linotype" w:hAnsi="Palatino Linotype"/>
          <w:lang w:val="tg-Cyrl-TJ"/>
        </w:rPr>
        <w:t>.</w:t>
      </w:r>
    </w:p>
    <w:p w:rsidR="00FB5F40" w:rsidRPr="00026244" w:rsidRDefault="00FB5F40" w:rsidP="00D61A97">
      <w:pPr>
        <w:spacing w:after="0" w:line="324" w:lineRule="auto"/>
        <w:ind w:firstLine="425"/>
        <w:jc w:val="both"/>
        <w:rPr>
          <w:rFonts w:ascii="Palatino Linotype" w:hAnsi="Palatino Linotype"/>
          <w:lang w:val="en-US"/>
        </w:rPr>
      </w:pPr>
      <w:r w:rsidRPr="00026244">
        <w:rPr>
          <w:rFonts w:ascii="Palatino Linotype" w:hAnsi="Palatino Linotype"/>
          <w:lang w:val="tg-Cyrl-TJ"/>
        </w:rPr>
        <w:t>It is worth to mention that Amonatbonk in 2011 initiated new type of social support to the children studying in supervised by it school</w:t>
      </w:r>
      <w:r w:rsidRPr="00026244">
        <w:rPr>
          <w:rFonts w:ascii="Palatino Linotype" w:hAnsi="Palatino Linotype"/>
          <w:lang w:val="en-US"/>
        </w:rPr>
        <w:t>. So, to 50 children studying in this school as a charity were opened term deposit accounts.</w:t>
      </w:r>
    </w:p>
    <w:p w:rsidR="00FB5F40" w:rsidRPr="00026244" w:rsidRDefault="00FB5F40" w:rsidP="00D61A97">
      <w:pPr>
        <w:spacing w:after="0" w:line="324" w:lineRule="auto"/>
        <w:ind w:firstLine="425"/>
        <w:jc w:val="both"/>
        <w:rPr>
          <w:rFonts w:ascii="Palatino Linotype" w:hAnsi="Palatino Linotype"/>
          <w:lang w:val="tg-Cyrl-TJ"/>
        </w:rPr>
      </w:pPr>
      <w:r w:rsidRPr="00026244">
        <w:rPr>
          <w:rFonts w:ascii="Palatino Linotype" w:hAnsi="Palatino Linotype"/>
          <w:lang w:val="en-US"/>
        </w:rPr>
        <w:t xml:space="preserve">Also, the last several years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pays special attention to the Veterans of the Great Patriotic War and Veterans of </w:t>
      </w:r>
      <w:proofErr w:type="spellStart"/>
      <w:r w:rsidRPr="00026244">
        <w:rPr>
          <w:rFonts w:ascii="Palatino Linotype" w:hAnsi="Palatino Linotype"/>
          <w:lang w:val="en-US"/>
        </w:rPr>
        <w:t>Labour</w:t>
      </w:r>
      <w:proofErr w:type="spellEnd"/>
      <w:r w:rsidRPr="00026244">
        <w:rPr>
          <w:rFonts w:ascii="Palatino Linotype" w:hAnsi="Palatino Linotype"/>
          <w:lang w:val="tg-Cyrl-TJ"/>
        </w:rPr>
        <w:t xml:space="preserve">. </w:t>
      </w:r>
    </w:p>
    <w:p w:rsidR="00FB5F40" w:rsidRPr="00026244" w:rsidRDefault="00FB5F40" w:rsidP="00D61A97">
      <w:pPr>
        <w:spacing w:after="0" w:line="324" w:lineRule="auto"/>
        <w:ind w:firstLine="425"/>
        <w:jc w:val="both"/>
        <w:rPr>
          <w:rFonts w:ascii="Palatino Linotype" w:hAnsi="Palatino Linotype"/>
          <w:lang w:val="tg-Cyrl-TJ"/>
        </w:rPr>
      </w:pPr>
      <w:r w:rsidRPr="00026244">
        <w:rPr>
          <w:rFonts w:ascii="Palatino Linotype" w:hAnsi="Palatino Linotype"/>
          <w:lang w:val="tg-Cyrl-TJ"/>
        </w:rPr>
        <w:t>In addition Amonatb</w:t>
      </w:r>
      <w:r w:rsidR="00662E5A" w:rsidRPr="00026244">
        <w:rPr>
          <w:rFonts w:ascii="Palatino Linotype" w:hAnsi="Palatino Linotype"/>
          <w:lang w:val="en-US"/>
        </w:rPr>
        <w:t>a</w:t>
      </w:r>
      <w:r w:rsidRPr="00026244">
        <w:rPr>
          <w:rFonts w:ascii="Palatino Linotype" w:hAnsi="Palatino Linotype"/>
          <w:lang w:val="tg-Cyrl-TJ"/>
        </w:rPr>
        <w:t>nk takes an active part in sponsoring different cultural and educational projects that promote historical and cultural values</w:t>
      </w:r>
      <w:r w:rsidRPr="00026244">
        <w:rPr>
          <w:rFonts w:ascii="Palatino Linotype" w:hAnsi="Palatino Linotype"/>
          <w:lang w:val="en-US"/>
        </w:rPr>
        <w:t xml:space="preserve"> of the nation.</w:t>
      </w:r>
      <w:r w:rsidRPr="00026244">
        <w:rPr>
          <w:rFonts w:ascii="Palatino Linotype" w:hAnsi="Palatino Linotype"/>
          <w:lang w:val="tg-Cyrl-TJ"/>
        </w:rPr>
        <w:t xml:space="preserve"> In particular in 2011 Amonatb</w:t>
      </w:r>
      <w:r w:rsidR="00662E5A" w:rsidRPr="00026244">
        <w:rPr>
          <w:rFonts w:ascii="Palatino Linotype" w:hAnsi="Palatino Linotype"/>
          <w:lang w:val="en-US"/>
        </w:rPr>
        <w:t>a</w:t>
      </w:r>
      <w:r w:rsidRPr="00026244">
        <w:rPr>
          <w:rFonts w:ascii="Palatino Linotype" w:hAnsi="Palatino Linotype"/>
          <w:lang w:val="tg-Cyrl-TJ"/>
        </w:rPr>
        <w:t xml:space="preserve">nk continued its sponsorship and supporte financially the festival “Chakomai gesu”, festival of talants from amongst of invalids “Ganji nuhufta” (“hidden trasure”) </w:t>
      </w:r>
      <w:r w:rsidRPr="00026244">
        <w:rPr>
          <w:rFonts w:ascii="Palatino Linotype" w:hAnsi="Palatino Linotype"/>
          <w:lang w:val="tg-Cyrl-TJ"/>
        </w:rPr>
        <w:lastRenderedPageBreak/>
        <w:t>and organized traditional event “Khatnatuy”</w:t>
      </w:r>
      <w:r w:rsidRPr="00026244">
        <w:rPr>
          <w:rFonts w:ascii="Palatino Linotype" w:hAnsi="Palatino Linotype"/>
          <w:lang w:val="en-US"/>
        </w:rPr>
        <w:t xml:space="preserve"> for the kids from needy families</w:t>
      </w:r>
      <w:r w:rsidRPr="00026244">
        <w:rPr>
          <w:rFonts w:ascii="Palatino Linotype" w:hAnsi="Palatino Linotype"/>
          <w:lang w:val="tg-Cyrl-TJ"/>
        </w:rPr>
        <w:t>.</w:t>
      </w:r>
    </w:p>
    <w:p w:rsidR="00FB5F40" w:rsidRPr="00026244" w:rsidRDefault="00FB5F40" w:rsidP="001F678E">
      <w:pPr>
        <w:spacing w:after="0"/>
        <w:ind w:firstLine="284"/>
        <w:jc w:val="both"/>
        <w:rPr>
          <w:rFonts w:ascii="Palatino Linotype" w:hAnsi="Palatino Linotype"/>
          <w:lang w:val="tg-Cyrl-TJ"/>
        </w:rPr>
      </w:pPr>
    </w:p>
    <w:p w:rsidR="00FB5F40" w:rsidRPr="00026244" w:rsidRDefault="00FB5F40" w:rsidP="00D61A97">
      <w:pPr>
        <w:spacing w:after="0"/>
        <w:jc w:val="both"/>
        <w:rPr>
          <w:rFonts w:ascii="Palatino Linotype" w:hAnsi="Palatino Linotype"/>
        </w:rPr>
      </w:pPr>
      <w:r w:rsidRPr="00026244">
        <w:rPr>
          <w:rFonts w:ascii="Palatino Linotype" w:hAnsi="Palatino Linotype"/>
          <w:lang w:val="tg-Cyrl-TJ"/>
        </w:rPr>
        <w:t>таланты”) проведения традиционного мероприятия “Хатнатуй”.</w:t>
      </w:r>
    </w:p>
    <w:p w:rsidR="00FB5F40" w:rsidRPr="00026244" w:rsidRDefault="00FB5F40" w:rsidP="00D61A97">
      <w:pPr>
        <w:spacing w:after="0"/>
        <w:ind w:firstLine="284"/>
        <w:jc w:val="both"/>
        <w:rPr>
          <w:rFonts w:ascii="Palatino Linotype" w:hAnsi="Palatino Linotype"/>
          <w:color w:val="FF0000"/>
          <w:lang w:val="tg-Cyrl-TJ"/>
        </w:rPr>
      </w:pPr>
      <w:r w:rsidRPr="00026244">
        <w:rPr>
          <w:rFonts w:ascii="Palatino Linotype" w:hAnsi="Palatino Linotype"/>
          <w:lang w:val="tg-Cyrl-TJ"/>
        </w:rPr>
        <w:t>Амонатбонк внес свою лепту в проведении в г. Кайраккум Экономического форума “Свободные экономические зоны Республики Таджикистан: возможности развития”</w:t>
      </w:r>
    </w:p>
    <w:p w:rsidR="00FB5F40" w:rsidRPr="00026244" w:rsidRDefault="00FB5F40" w:rsidP="00D61A97">
      <w:pPr>
        <w:spacing w:after="0"/>
        <w:ind w:firstLine="284"/>
        <w:jc w:val="both"/>
        <w:rPr>
          <w:rFonts w:ascii="Palatino Linotype" w:hAnsi="Palatino Linotype"/>
          <w:lang w:val="tg-Cyrl-TJ"/>
        </w:rPr>
      </w:pPr>
      <w:r w:rsidRPr="00026244">
        <w:rPr>
          <w:rFonts w:ascii="Palatino Linotype" w:hAnsi="Palatino Linotype"/>
          <w:lang w:val="tg-Cyrl-TJ"/>
        </w:rPr>
        <w:t>Банк  активно участвует в социальных  программах поддержки населения при ликвидации последствий стихийных бедствий. В рамках этой программы осуществлено  строительство и сданы под ключ четыре жилых дома со всеми бытовыми принадлежностями первой необходимости семьям пострадавшим от стихийного бедствия сельсовета Айни  района Хуросон, г. Куляба Хатлонской области и др.</w:t>
      </w:r>
    </w:p>
    <w:p w:rsidR="00FB5F40" w:rsidRPr="00026244" w:rsidRDefault="00FB5F40" w:rsidP="00D61A97">
      <w:pPr>
        <w:spacing w:after="0"/>
        <w:ind w:firstLine="284"/>
        <w:jc w:val="both"/>
        <w:rPr>
          <w:rFonts w:ascii="Palatino Linotype" w:hAnsi="Palatino Linotype"/>
        </w:rPr>
      </w:pPr>
      <w:r w:rsidRPr="00026244">
        <w:rPr>
          <w:rFonts w:ascii="Palatino Linotype" w:hAnsi="Palatino Linotype"/>
          <w:lang w:val="tg-Cyrl-TJ"/>
        </w:rPr>
        <w:t>В целом Амонатбонк лишь в 2011 году оказал благотворительную и спонсорскую помощь на общую сумму 1 342 тыс. сомони.</w:t>
      </w:r>
    </w:p>
    <w:p w:rsidR="00FB5F40" w:rsidRPr="00026244" w:rsidRDefault="00FB5F40" w:rsidP="001F678E">
      <w:pPr>
        <w:spacing w:after="0"/>
        <w:ind w:firstLine="284"/>
        <w:jc w:val="both"/>
        <w:rPr>
          <w:rFonts w:ascii="Palatino Linotype" w:hAnsi="Palatino Linotype"/>
        </w:rPr>
      </w:pPr>
    </w:p>
    <w:p w:rsidR="00FB5F40" w:rsidRPr="00026244" w:rsidRDefault="006B0B2F" w:rsidP="001F678E">
      <w:pPr>
        <w:spacing w:after="0"/>
        <w:ind w:firstLine="284"/>
        <w:jc w:val="both"/>
        <w:rPr>
          <w:rFonts w:ascii="Palatino Linotype" w:hAnsi="Palatino Linotype"/>
        </w:rPr>
      </w:pPr>
      <w:r w:rsidRPr="00026244">
        <w:rPr>
          <w:noProof/>
          <w:lang w:eastAsia="ru-RU"/>
        </w:rPr>
        <w:drawing>
          <wp:anchor distT="164592" distB="125730" distL="187452" distR="777621" simplePos="0" relativeHeight="251663872" behindDoc="0" locked="0" layoutInCell="1" allowOverlap="1" wp14:anchorId="0E57D407" wp14:editId="5A6DDB2C">
            <wp:simplePos x="0" y="0"/>
            <wp:positionH relativeFrom="column">
              <wp:posOffset>257810</wp:posOffset>
            </wp:positionH>
            <wp:positionV relativeFrom="paragraph">
              <wp:posOffset>324485</wp:posOffset>
            </wp:positionV>
            <wp:extent cx="4949825" cy="2700655"/>
            <wp:effectExtent l="0" t="0" r="0" b="0"/>
            <wp:wrapNone/>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2513EE" w:rsidRPr="00026244" w:rsidRDefault="002513EE" w:rsidP="001F678E">
      <w:pPr>
        <w:spacing w:after="0"/>
        <w:ind w:firstLine="284"/>
        <w:jc w:val="both"/>
        <w:rPr>
          <w:rFonts w:ascii="Palatino Linotype" w:hAnsi="Palatino Linotype"/>
        </w:rPr>
      </w:pPr>
    </w:p>
    <w:p w:rsidR="00FB5F40" w:rsidRPr="00B50351" w:rsidRDefault="00FB5F40" w:rsidP="001F678E">
      <w:pPr>
        <w:spacing w:after="0"/>
        <w:ind w:firstLine="284"/>
        <w:jc w:val="both"/>
        <w:rPr>
          <w:rFonts w:ascii="Palatino Linotype" w:hAnsi="Palatino Linotype"/>
        </w:rPr>
      </w:pPr>
    </w:p>
    <w:p w:rsidR="00FB5F40" w:rsidRPr="00B50351" w:rsidRDefault="00FB5F40" w:rsidP="001F678E">
      <w:pPr>
        <w:spacing w:after="0"/>
        <w:ind w:firstLine="284"/>
        <w:jc w:val="both"/>
        <w:rPr>
          <w:rFonts w:ascii="Palatino Linotype" w:hAnsi="Palatino Linotype"/>
        </w:rPr>
      </w:pPr>
    </w:p>
    <w:p w:rsidR="00FB5F40" w:rsidRPr="00026244" w:rsidRDefault="00FB5F40" w:rsidP="00D61A97">
      <w:pPr>
        <w:spacing w:after="0" w:line="324" w:lineRule="auto"/>
        <w:ind w:firstLine="284"/>
        <w:jc w:val="both"/>
        <w:rPr>
          <w:rFonts w:ascii="Palatino Linotype" w:hAnsi="Palatino Linotype"/>
          <w:color w:val="FF0000"/>
          <w:lang w:val="tg-Cyrl-TJ"/>
        </w:rPr>
      </w:pPr>
      <w:r w:rsidRPr="00026244">
        <w:rPr>
          <w:rFonts w:ascii="Palatino Linotype" w:hAnsi="Palatino Linotype"/>
          <w:lang w:val="tg-Cyrl-TJ"/>
        </w:rPr>
        <w:t>Amonatb</w:t>
      </w:r>
      <w:r w:rsidR="00662E5A" w:rsidRPr="00026244">
        <w:rPr>
          <w:rFonts w:ascii="Palatino Linotype" w:hAnsi="Palatino Linotype"/>
          <w:lang w:val="en-US"/>
        </w:rPr>
        <w:t>a</w:t>
      </w:r>
      <w:r w:rsidRPr="00026244">
        <w:rPr>
          <w:rFonts w:ascii="Palatino Linotype" w:hAnsi="Palatino Linotype"/>
          <w:lang w:val="tg-Cyrl-TJ"/>
        </w:rPr>
        <w:t>nk also contributed to organization of Economic Forum “Free economic zones of the Repiblic of Tajikistan: development opportunities” in Kairakum resort of Khujand region</w:t>
      </w:r>
      <w:r w:rsidRPr="00026244">
        <w:rPr>
          <w:rFonts w:ascii="Palatino Linotype" w:hAnsi="Palatino Linotype"/>
          <w:lang w:val="en-US"/>
        </w:rPr>
        <w:t>.</w:t>
      </w:r>
    </w:p>
    <w:p w:rsidR="00FB5F40" w:rsidRPr="00026244" w:rsidRDefault="00FB5F40" w:rsidP="00D61A97">
      <w:pPr>
        <w:spacing w:after="0" w:line="324" w:lineRule="auto"/>
        <w:ind w:firstLine="284"/>
        <w:jc w:val="both"/>
        <w:rPr>
          <w:rFonts w:ascii="Palatino Linotype" w:hAnsi="Palatino Linotype"/>
          <w:lang w:val="tg-Cyrl-TJ"/>
        </w:rPr>
      </w:pPr>
      <w:r w:rsidRPr="00026244">
        <w:rPr>
          <w:rFonts w:ascii="Palatino Linotype" w:hAnsi="Palatino Linotype"/>
          <w:lang w:val="tg-Cyrl-TJ"/>
        </w:rPr>
        <w:t>Besides Amonatb</w:t>
      </w:r>
      <w:r w:rsidR="00662E5A" w:rsidRPr="00026244">
        <w:rPr>
          <w:rFonts w:ascii="Palatino Linotype" w:hAnsi="Palatino Linotype"/>
          <w:lang w:val="en-US"/>
        </w:rPr>
        <w:t>a</w:t>
      </w:r>
      <w:r w:rsidRPr="00026244">
        <w:rPr>
          <w:rFonts w:ascii="Palatino Linotype" w:hAnsi="Palatino Linotype"/>
          <w:lang w:val="tg-Cyrl-TJ"/>
        </w:rPr>
        <w:t xml:space="preserve">nk participates in implementation of social programs for assisting those who became the victims of natural disasters </w:t>
      </w:r>
      <w:r w:rsidRPr="00026244">
        <w:rPr>
          <w:rFonts w:ascii="Palatino Linotype" w:hAnsi="Palatino Linotype"/>
          <w:lang w:val="en-US"/>
        </w:rPr>
        <w:t xml:space="preserve">to overcome these consequences. As a part of these programs </w:t>
      </w:r>
      <w:proofErr w:type="spellStart"/>
      <w:r w:rsidRPr="00026244">
        <w:rPr>
          <w:rFonts w:ascii="Palatino Linotype" w:hAnsi="Palatino Linotype"/>
          <w:lang w:val="en-US"/>
        </w:rPr>
        <w:t>Amonatb</w:t>
      </w:r>
      <w:r w:rsidR="00662E5A" w:rsidRPr="00026244">
        <w:rPr>
          <w:rFonts w:ascii="Palatino Linotype" w:hAnsi="Palatino Linotype"/>
          <w:lang w:val="en-US"/>
        </w:rPr>
        <w:t>a</w:t>
      </w:r>
      <w:r w:rsidRPr="00026244">
        <w:rPr>
          <w:rFonts w:ascii="Palatino Linotype" w:hAnsi="Palatino Linotype"/>
          <w:lang w:val="en-US"/>
        </w:rPr>
        <w:t>nk</w:t>
      </w:r>
      <w:proofErr w:type="spellEnd"/>
      <w:r w:rsidRPr="00026244">
        <w:rPr>
          <w:rFonts w:ascii="Palatino Linotype" w:hAnsi="Palatino Linotype"/>
          <w:lang w:val="en-US"/>
        </w:rPr>
        <w:t xml:space="preserve"> constructed and presented four houses to the victims of </w:t>
      </w:r>
      <w:proofErr w:type="gramStart"/>
      <w:r w:rsidRPr="00026244">
        <w:rPr>
          <w:rFonts w:ascii="Palatino Linotype" w:hAnsi="Palatino Linotype"/>
          <w:lang w:val="en-US"/>
        </w:rPr>
        <w:t>disasters  in</w:t>
      </w:r>
      <w:proofErr w:type="gramEnd"/>
      <w:r w:rsidRPr="00026244">
        <w:rPr>
          <w:rFonts w:ascii="Palatino Linotype" w:hAnsi="Palatino Linotype"/>
          <w:lang w:val="en-US"/>
        </w:rPr>
        <w:t xml:space="preserve"> </w:t>
      </w:r>
      <w:proofErr w:type="spellStart"/>
      <w:r w:rsidRPr="00026244">
        <w:rPr>
          <w:rFonts w:ascii="Palatino Linotype" w:hAnsi="Palatino Linotype"/>
          <w:lang w:val="en-US"/>
        </w:rPr>
        <w:t>Aini</w:t>
      </w:r>
      <w:proofErr w:type="spellEnd"/>
      <w:r w:rsidRPr="00026244">
        <w:rPr>
          <w:rFonts w:ascii="Palatino Linotype" w:hAnsi="Palatino Linotype"/>
          <w:lang w:val="en-US"/>
        </w:rPr>
        <w:t xml:space="preserve"> village of </w:t>
      </w:r>
      <w:proofErr w:type="spellStart"/>
      <w:r w:rsidRPr="00026244">
        <w:rPr>
          <w:rFonts w:ascii="Palatino Linotype" w:hAnsi="Palatino Linotype"/>
          <w:lang w:val="en-US"/>
        </w:rPr>
        <w:t>Khuroson</w:t>
      </w:r>
      <w:proofErr w:type="spellEnd"/>
      <w:r w:rsidR="00662E5A" w:rsidRPr="00026244">
        <w:rPr>
          <w:rFonts w:ascii="Palatino Linotype" w:hAnsi="Palatino Linotype"/>
          <w:lang w:val="en-US"/>
        </w:rPr>
        <w:t xml:space="preserve"> </w:t>
      </w:r>
      <w:r w:rsidRPr="00026244">
        <w:rPr>
          <w:rFonts w:ascii="Palatino Linotype" w:hAnsi="Palatino Linotype"/>
          <w:lang w:val="en-US"/>
        </w:rPr>
        <w:t xml:space="preserve">district and </w:t>
      </w:r>
      <w:proofErr w:type="spellStart"/>
      <w:r w:rsidRPr="00026244">
        <w:rPr>
          <w:rFonts w:ascii="Palatino Linotype" w:hAnsi="Palatino Linotype"/>
          <w:lang w:val="en-US"/>
        </w:rPr>
        <w:t>Kulyab</w:t>
      </w:r>
      <w:proofErr w:type="spellEnd"/>
      <w:r w:rsidRPr="00026244">
        <w:rPr>
          <w:rFonts w:ascii="Palatino Linotype" w:hAnsi="Palatino Linotype"/>
          <w:lang w:val="en-US"/>
        </w:rPr>
        <w:t xml:space="preserve"> of </w:t>
      </w:r>
      <w:proofErr w:type="spellStart"/>
      <w:r w:rsidRPr="00026244">
        <w:rPr>
          <w:rFonts w:ascii="Palatino Linotype" w:hAnsi="Palatino Linotype"/>
          <w:lang w:val="en-US"/>
        </w:rPr>
        <w:t>Khatlon</w:t>
      </w:r>
      <w:proofErr w:type="spellEnd"/>
      <w:r w:rsidRPr="00026244">
        <w:rPr>
          <w:rFonts w:ascii="Palatino Linotype" w:hAnsi="Palatino Linotype"/>
          <w:lang w:val="en-US"/>
        </w:rPr>
        <w:t xml:space="preserve"> region which were fully equipped with all modern conveniences</w:t>
      </w:r>
      <w:r w:rsidRPr="00026244">
        <w:rPr>
          <w:rFonts w:ascii="Palatino Linotype" w:hAnsi="Palatino Linotype"/>
          <w:lang w:val="tg-Cyrl-TJ"/>
        </w:rPr>
        <w:t>.</w:t>
      </w:r>
    </w:p>
    <w:p w:rsidR="00FB5F40" w:rsidRPr="00026244" w:rsidRDefault="00FB5F40" w:rsidP="00D61A97">
      <w:pPr>
        <w:spacing w:after="0" w:line="324" w:lineRule="auto"/>
        <w:ind w:firstLine="284"/>
        <w:jc w:val="both"/>
        <w:rPr>
          <w:rFonts w:ascii="Palatino Linotype" w:hAnsi="Palatino Linotype"/>
          <w:lang w:val="en-US"/>
        </w:rPr>
      </w:pPr>
      <w:r w:rsidRPr="00026244">
        <w:rPr>
          <w:rFonts w:ascii="Palatino Linotype" w:hAnsi="Palatino Linotype"/>
          <w:lang w:val="tg-Cyrl-TJ"/>
        </w:rPr>
        <w:t>In tote Amonatb</w:t>
      </w:r>
      <w:r w:rsidR="00662E5A" w:rsidRPr="00026244">
        <w:rPr>
          <w:rFonts w:ascii="Palatino Linotype" w:hAnsi="Palatino Linotype"/>
          <w:lang w:val="en-US"/>
        </w:rPr>
        <w:t>a</w:t>
      </w:r>
      <w:r w:rsidRPr="00026244">
        <w:rPr>
          <w:rFonts w:ascii="Palatino Linotype" w:hAnsi="Palatino Linotype"/>
          <w:lang w:val="tg-Cyrl-TJ"/>
        </w:rPr>
        <w:t xml:space="preserve">nk only in 2011 provided charity and sponsorship to the total sum of  1 342 </w:t>
      </w:r>
      <w:r w:rsidRPr="00026244">
        <w:rPr>
          <w:rFonts w:ascii="Palatino Linotype" w:hAnsi="Palatino Linotype"/>
          <w:lang w:val="en-US"/>
        </w:rPr>
        <w:t>thousand TJS</w:t>
      </w:r>
      <w:r w:rsidRPr="00026244">
        <w:rPr>
          <w:rFonts w:ascii="Palatino Linotype" w:hAnsi="Palatino Linotype"/>
          <w:lang w:val="tg-Cyrl-TJ"/>
        </w:rPr>
        <w:t>.</w:t>
      </w: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D61A97">
      <w:pPr>
        <w:spacing w:after="0"/>
        <w:ind w:right="-1"/>
        <w:jc w:val="both"/>
        <w:rPr>
          <w:rFonts w:ascii="Palatino Linotype" w:hAnsi="Palatino Linotype"/>
          <w:b/>
          <w:color w:val="003300"/>
          <w:sz w:val="24"/>
          <w:szCs w:val="24"/>
          <w:lang w:val="en-US"/>
        </w:rPr>
        <w:sectPr w:rsidR="00FB5F40" w:rsidRPr="00026244" w:rsidSect="00EF010A">
          <w:type w:val="continuous"/>
          <w:pgSz w:w="11906" w:h="16838"/>
          <w:pgMar w:top="1134" w:right="850" w:bottom="1134" w:left="1134" w:header="708" w:footer="708" w:gutter="0"/>
          <w:cols w:num="2" w:space="566"/>
          <w:docGrid w:linePitch="360"/>
        </w:sectPr>
      </w:pPr>
    </w:p>
    <w:p w:rsidR="00FB5F40" w:rsidRPr="00026244" w:rsidRDefault="00FB5F40" w:rsidP="00D61A97">
      <w:pPr>
        <w:spacing w:after="0"/>
        <w:ind w:right="-1"/>
        <w:jc w:val="both"/>
        <w:rPr>
          <w:rFonts w:ascii="Palatino Linotype" w:hAnsi="Palatino Linotype"/>
          <w:b/>
          <w:color w:val="003300"/>
          <w:sz w:val="28"/>
          <w:szCs w:val="28"/>
        </w:rPr>
      </w:pPr>
      <w:r w:rsidRPr="00026244">
        <w:rPr>
          <w:rFonts w:ascii="Palatino Linotype" w:hAnsi="Palatino Linotype"/>
          <w:b/>
          <w:color w:val="003300"/>
          <w:sz w:val="28"/>
          <w:szCs w:val="28"/>
        </w:rPr>
        <w:lastRenderedPageBreak/>
        <w:t xml:space="preserve">СТРАТЕГИЯ РАЗВИТИЯ БАНКА </w:t>
      </w:r>
    </w:p>
    <w:p w:rsidR="00FB5F40" w:rsidRPr="00026244" w:rsidRDefault="00FB5F40" w:rsidP="00D61A97">
      <w:pPr>
        <w:spacing w:after="0"/>
        <w:ind w:right="-1"/>
        <w:jc w:val="both"/>
        <w:rPr>
          <w:rFonts w:ascii="Palatino Linotype" w:hAnsi="Palatino Linotype"/>
          <w:b/>
          <w:color w:val="7030A0"/>
          <w:sz w:val="28"/>
          <w:szCs w:val="28"/>
        </w:rPr>
      </w:pPr>
      <w:r w:rsidRPr="00026244">
        <w:rPr>
          <w:rFonts w:ascii="Palatino Linotype" w:hAnsi="Palatino Linotype"/>
          <w:b/>
          <w:color w:val="7030A0"/>
          <w:sz w:val="28"/>
          <w:szCs w:val="28"/>
          <w:lang w:val="en-US"/>
        </w:rPr>
        <w:t>BANK</w:t>
      </w:r>
      <w:r w:rsidR="003306BA" w:rsidRPr="00B50351">
        <w:rPr>
          <w:rFonts w:ascii="Palatino Linotype" w:hAnsi="Palatino Linotype"/>
          <w:b/>
          <w:color w:val="7030A0"/>
          <w:sz w:val="28"/>
          <w:szCs w:val="28"/>
        </w:rPr>
        <w:t xml:space="preserve"> </w:t>
      </w:r>
      <w:r w:rsidRPr="00026244">
        <w:rPr>
          <w:rFonts w:ascii="Palatino Linotype" w:hAnsi="Palatino Linotype"/>
          <w:b/>
          <w:color w:val="7030A0"/>
          <w:sz w:val="28"/>
          <w:szCs w:val="28"/>
          <w:lang w:val="en-US"/>
        </w:rPr>
        <w:t>DEVELOPMENT</w:t>
      </w:r>
      <w:r w:rsidR="003306BA" w:rsidRPr="00B50351">
        <w:rPr>
          <w:rFonts w:ascii="Palatino Linotype" w:hAnsi="Palatino Linotype"/>
          <w:b/>
          <w:color w:val="7030A0"/>
          <w:sz w:val="28"/>
          <w:szCs w:val="28"/>
        </w:rPr>
        <w:t xml:space="preserve"> </w:t>
      </w:r>
      <w:r w:rsidRPr="00026244">
        <w:rPr>
          <w:rFonts w:ascii="Palatino Linotype" w:hAnsi="Palatino Linotype"/>
          <w:b/>
          <w:color w:val="7030A0"/>
          <w:sz w:val="28"/>
          <w:szCs w:val="28"/>
          <w:lang w:val="en-US"/>
        </w:rPr>
        <w:t>STRATEGY</w:t>
      </w:r>
    </w:p>
    <w:p w:rsidR="00FB5F40" w:rsidRPr="00026244" w:rsidRDefault="00FB5F40" w:rsidP="00D61A97">
      <w:pPr>
        <w:spacing w:after="0"/>
        <w:ind w:right="-1"/>
        <w:jc w:val="both"/>
        <w:rPr>
          <w:rFonts w:ascii="Palatino Linotype" w:hAnsi="Palatino Linotype"/>
          <w:b/>
          <w:color w:val="003300"/>
          <w:sz w:val="24"/>
          <w:szCs w:val="24"/>
        </w:rPr>
      </w:pPr>
    </w:p>
    <w:p w:rsidR="00FB5F40" w:rsidRPr="00026244" w:rsidRDefault="00FB5F40" w:rsidP="00D61A97">
      <w:pPr>
        <w:spacing w:after="0"/>
        <w:ind w:right="-1"/>
        <w:jc w:val="both"/>
        <w:rPr>
          <w:rFonts w:ascii="Palatino Linotype" w:hAnsi="Palatino Linotype"/>
          <w:sz w:val="24"/>
          <w:szCs w:val="24"/>
        </w:rPr>
        <w:sectPr w:rsidR="00FB5F40" w:rsidRPr="00026244" w:rsidSect="00D61A97">
          <w:type w:val="continuous"/>
          <w:pgSz w:w="11906" w:h="16838"/>
          <w:pgMar w:top="1134" w:right="850" w:bottom="1134" w:left="1134" w:header="708" w:footer="708" w:gutter="0"/>
          <w:cols w:space="566"/>
          <w:docGrid w:linePitch="360"/>
        </w:sectPr>
      </w:pPr>
    </w:p>
    <w:p w:rsidR="00FB5F40" w:rsidRPr="00026244" w:rsidRDefault="00FB5F40" w:rsidP="00D61A97">
      <w:pPr>
        <w:spacing w:after="0"/>
        <w:ind w:right="-1"/>
        <w:jc w:val="both"/>
        <w:rPr>
          <w:rFonts w:ascii="Palatino Linotype" w:hAnsi="Palatino Linotype"/>
          <w:sz w:val="24"/>
          <w:szCs w:val="24"/>
        </w:rPr>
      </w:pP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Цель - Укрепление позиции Банка на рынке банковских услуг.</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 xml:space="preserve"> Основные направления достижения цели: </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-повышения качества обслуживания всех категорий клиентов;</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-эффективная работа с проблемными кредитами;</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-расширение клиентской и ресурсной базы;</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-повышение уровня профессионализма сотрудников Банка и привлечение молодых перспективных специалистов;</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-совершенствование материально-технической базы Банка;</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-охват всех сфер деятельности банка программными продуктами;</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-укрепление и расширение сотрудничества с международными институтами;</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-увеличение доходности банковских операций;</w:t>
      </w:r>
    </w:p>
    <w:p w:rsidR="00FB5F40" w:rsidRPr="00026244" w:rsidRDefault="00FB5F40" w:rsidP="00D61A97">
      <w:pPr>
        <w:pStyle w:val="3"/>
        <w:jc w:val="both"/>
        <w:rPr>
          <w:rFonts w:ascii="Palatino Linotype" w:hAnsi="Palatino Linotype"/>
          <w:bCs/>
          <w:sz w:val="22"/>
          <w:szCs w:val="22"/>
          <w:lang w:eastAsia="ru-RU"/>
        </w:rPr>
      </w:pPr>
      <w:r w:rsidRPr="00026244">
        <w:rPr>
          <w:rFonts w:ascii="Palatino Linotype" w:hAnsi="Palatino Linotype"/>
          <w:bCs/>
          <w:sz w:val="22"/>
          <w:szCs w:val="22"/>
          <w:lang w:eastAsia="ru-RU"/>
        </w:rPr>
        <w:t xml:space="preserve">-наращивание капитала Банка путем эффективного размещения ресурсов и капитализации прибыли. </w:t>
      </w: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8C1120">
      <w:pPr>
        <w:pStyle w:val="3"/>
        <w:jc w:val="both"/>
        <w:rPr>
          <w:rFonts w:ascii="Palatino Linotype" w:hAnsi="Palatino Linotype"/>
          <w:bCs/>
          <w:sz w:val="22"/>
          <w:szCs w:val="22"/>
          <w:lang w:eastAsia="ru-RU"/>
        </w:rPr>
      </w:pPr>
    </w:p>
    <w:p w:rsidR="00FB5F40" w:rsidRPr="00026244" w:rsidRDefault="00FB5F40" w:rsidP="008C1120">
      <w:pPr>
        <w:pStyle w:val="3"/>
        <w:jc w:val="both"/>
        <w:rPr>
          <w:rFonts w:ascii="Palatino Linotype" w:hAnsi="Palatino Linotype"/>
          <w:bCs/>
          <w:sz w:val="22"/>
          <w:szCs w:val="22"/>
          <w:lang w:eastAsia="ru-RU"/>
        </w:rPr>
      </w:pP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 xml:space="preserve">Goal – Strengthening </w:t>
      </w:r>
      <w:proofErr w:type="spellStart"/>
      <w:r w:rsidRPr="00026244">
        <w:rPr>
          <w:rFonts w:ascii="Palatino Linotype" w:hAnsi="Palatino Linotype"/>
          <w:bCs/>
          <w:sz w:val="22"/>
          <w:szCs w:val="22"/>
          <w:lang w:val="en-US" w:eastAsia="ru-RU"/>
        </w:rPr>
        <w:t>Amonatb</w:t>
      </w:r>
      <w:r w:rsidR="00662E5A" w:rsidRPr="00026244">
        <w:rPr>
          <w:rFonts w:ascii="Palatino Linotype" w:hAnsi="Palatino Linotype"/>
          <w:bCs/>
          <w:sz w:val="22"/>
          <w:szCs w:val="22"/>
          <w:lang w:val="en-US" w:eastAsia="ru-RU"/>
        </w:rPr>
        <w:t>a</w:t>
      </w:r>
      <w:r w:rsidRPr="00026244">
        <w:rPr>
          <w:rFonts w:ascii="Palatino Linotype" w:hAnsi="Palatino Linotype"/>
          <w:bCs/>
          <w:sz w:val="22"/>
          <w:szCs w:val="22"/>
          <w:lang w:val="en-US" w:eastAsia="ru-RU"/>
        </w:rPr>
        <w:t>nk’s</w:t>
      </w:r>
      <w:proofErr w:type="spellEnd"/>
      <w:r w:rsidRPr="00026244">
        <w:rPr>
          <w:rFonts w:ascii="Palatino Linotype" w:hAnsi="Palatino Linotype"/>
          <w:bCs/>
          <w:sz w:val="22"/>
          <w:szCs w:val="22"/>
          <w:lang w:val="en-US" w:eastAsia="ru-RU"/>
        </w:rPr>
        <w:t xml:space="preserve"> position in the market banking services.</w:t>
      </w: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 xml:space="preserve">The main directions for achieving the Goal: </w:t>
      </w: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w:t>
      </w:r>
      <w:r w:rsidRPr="00026244">
        <w:rPr>
          <w:rFonts w:ascii="Palatino Linotype" w:hAnsi="Palatino Linotype" w:cs="Arial CYR"/>
          <w:sz w:val="22"/>
          <w:szCs w:val="22"/>
          <w:lang w:val="en-US"/>
        </w:rPr>
        <w:t>improving the quality of services to all segments of clients;</w:t>
      </w: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-effective work with NPLs;</w:t>
      </w: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w:t>
      </w:r>
      <w:r w:rsidRPr="00026244">
        <w:rPr>
          <w:rFonts w:ascii="Palatino Linotype" w:hAnsi="Palatino Linotype" w:cs="Arial CYR"/>
          <w:sz w:val="22"/>
          <w:szCs w:val="22"/>
          <w:lang w:val="en-US"/>
        </w:rPr>
        <w:t>broadening client and resource base</w:t>
      </w:r>
      <w:r w:rsidRPr="00026244">
        <w:rPr>
          <w:rFonts w:ascii="Palatino Linotype" w:hAnsi="Palatino Linotype"/>
          <w:bCs/>
          <w:sz w:val="22"/>
          <w:szCs w:val="22"/>
          <w:lang w:val="en-US" w:eastAsia="ru-RU"/>
        </w:rPr>
        <w:t>;</w:t>
      </w:r>
    </w:p>
    <w:p w:rsidR="00FB5F40" w:rsidRPr="00026244" w:rsidRDefault="00FB5F40" w:rsidP="008C1120">
      <w:pPr>
        <w:pStyle w:val="a3"/>
        <w:spacing w:before="240"/>
        <w:ind w:left="0" w:right="209"/>
        <w:jc w:val="both"/>
        <w:rPr>
          <w:rFonts w:ascii="Palatino Linotype" w:hAnsi="Palatino Linotype" w:cs="Arial CYR"/>
          <w:lang w:val="en-US"/>
        </w:rPr>
      </w:pPr>
      <w:r w:rsidRPr="00026244">
        <w:rPr>
          <w:rFonts w:ascii="Palatino Linotype" w:hAnsi="Palatino Linotype"/>
          <w:bCs/>
          <w:lang w:val="en-US" w:eastAsia="ru-RU"/>
        </w:rPr>
        <w:t>-</w:t>
      </w:r>
      <w:r w:rsidRPr="00026244">
        <w:rPr>
          <w:rFonts w:ascii="Palatino Linotype" w:hAnsi="Palatino Linotype" w:cs="Arial CYR"/>
          <w:lang w:val="en-US"/>
        </w:rPr>
        <w:t>improving the professional level of the staff and involvement of young promising specialists;</w:t>
      </w: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w:t>
      </w:r>
      <w:r w:rsidRPr="00026244">
        <w:rPr>
          <w:rFonts w:ascii="Palatino Linotype" w:hAnsi="Palatino Linotype" w:cs="Arial CYR"/>
          <w:sz w:val="22"/>
          <w:szCs w:val="22"/>
          <w:lang w:val="en-US"/>
        </w:rPr>
        <w:t>upgrading material and technical base of the Bank</w:t>
      </w:r>
      <w:r w:rsidRPr="00026244">
        <w:rPr>
          <w:rFonts w:ascii="Palatino Linotype" w:hAnsi="Palatino Linotype"/>
          <w:bCs/>
          <w:sz w:val="22"/>
          <w:szCs w:val="22"/>
          <w:lang w:val="en-US" w:eastAsia="ru-RU"/>
        </w:rPr>
        <w:t>;</w:t>
      </w:r>
    </w:p>
    <w:p w:rsidR="00FB5F40" w:rsidRPr="00026244" w:rsidRDefault="00FB5F40" w:rsidP="008C1120">
      <w:pPr>
        <w:pStyle w:val="a3"/>
        <w:spacing w:before="240"/>
        <w:ind w:left="0" w:right="210"/>
        <w:jc w:val="both"/>
        <w:rPr>
          <w:rFonts w:ascii="Palatino Linotype" w:hAnsi="Palatino Linotype" w:cs="Arial CYR"/>
          <w:lang w:val="en-US"/>
        </w:rPr>
      </w:pPr>
      <w:r w:rsidRPr="00026244">
        <w:rPr>
          <w:rFonts w:ascii="Palatino Linotype" w:hAnsi="Palatino Linotype"/>
          <w:bCs/>
          <w:lang w:val="en-US" w:eastAsia="ru-RU"/>
        </w:rPr>
        <w:t>-</w:t>
      </w:r>
      <w:r w:rsidRPr="00026244">
        <w:rPr>
          <w:rFonts w:ascii="Palatino Linotype" w:hAnsi="Palatino Linotype" w:cs="Arial CYR"/>
          <w:lang w:val="en-US"/>
        </w:rPr>
        <w:t>automation of all spheres of banking activities ;</w:t>
      </w: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w:t>
      </w:r>
      <w:r w:rsidRPr="00026244">
        <w:rPr>
          <w:rFonts w:ascii="Palatino Linotype" w:hAnsi="Palatino Linotype" w:cs="Arial CYR"/>
          <w:sz w:val="22"/>
          <w:szCs w:val="22"/>
          <w:lang w:val="en-US"/>
        </w:rPr>
        <w:t>strengthening and widening cooperation with International Financial Institutions</w:t>
      </w:r>
      <w:r w:rsidRPr="00026244">
        <w:rPr>
          <w:rFonts w:ascii="Palatino Linotype" w:hAnsi="Palatino Linotype"/>
          <w:bCs/>
          <w:sz w:val="22"/>
          <w:szCs w:val="22"/>
          <w:lang w:val="en-US" w:eastAsia="ru-RU"/>
        </w:rPr>
        <w:t>;</w:t>
      </w:r>
    </w:p>
    <w:p w:rsidR="00FB5F40" w:rsidRPr="00026244" w:rsidRDefault="00FB5F40" w:rsidP="008C1120">
      <w:pPr>
        <w:pStyle w:val="3"/>
        <w:jc w:val="both"/>
        <w:rPr>
          <w:rFonts w:ascii="Palatino Linotype" w:hAnsi="Palatino Linotype"/>
          <w:bCs/>
          <w:sz w:val="22"/>
          <w:szCs w:val="22"/>
          <w:lang w:val="en-US" w:eastAsia="ru-RU"/>
        </w:rPr>
      </w:pPr>
      <w:r w:rsidRPr="00026244">
        <w:rPr>
          <w:rFonts w:ascii="Palatino Linotype" w:hAnsi="Palatino Linotype"/>
          <w:bCs/>
          <w:sz w:val="22"/>
          <w:szCs w:val="22"/>
          <w:lang w:val="en-US" w:eastAsia="ru-RU"/>
        </w:rPr>
        <w:t>-Increasing profitability of banking transactions;</w:t>
      </w:r>
    </w:p>
    <w:p w:rsidR="00FB5F40" w:rsidRPr="00026244" w:rsidRDefault="00FB5F40" w:rsidP="008C1120">
      <w:pPr>
        <w:pStyle w:val="a3"/>
        <w:spacing w:before="240"/>
        <w:ind w:left="0" w:right="209"/>
        <w:jc w:val="both"/>
        <w:rPr>
          <w:rFonts w:ascii="Palatino Linotype" w:hAnsi="Palatino Linotype"/>
          <w:lang w:val="en-US"/>
        </w:rPr>
      </w:pPr>
      <w:r w:rsidRPr="00026244">
        <w:rPr>
          <w:rFonts w:ascii="Palatino Linotype" w:hAnsi="Palatino Linotype"/>
          <w:bCs/>
          <w:lang w:val="en-US" w:eastAsia="ru-RU"/>
        </w:rPr>
        <w:t>-</w:t>
      </w:r>
      <w:r w:rsidRPr="00026244">
        <w:rPr>
          <w:rFonts w:ascii="Palatino Linotype" w:hAnsi="Palatino Linotype" w:cs="Arial CYR"/>
          <w:lang w:val="en-US"/>
        </w:rPr>
        <w:t xml:space="preserve">raising the capital of the Bank by efficient investment of resources and capitalization of.   </w:t>
      </w: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jc w:val="both"/>
        <w:rPr>
          <w:rFonts w:ascii="Palatino Linotype" w:hAnsi="Palatino Linotype"/>
          <w:b/>
          <w:color w:val="003300"/>
          <w:sz w:val="32"/>
          <w:szCs w:val="32"/>
          <w:lang w:val="tg-Cyrl-TJ"/>
        </w:rPr>
        <w:sectPr w:rsidR="00FB5F40" w:rsidRPr="00026244" w:rsidSect="00EF010A">
          <w:type w:val="continuous"/>
          <w:pgSz w:w="11906" w:h="16838"/>
          <w:pgMar w:top="1134" w:right="850" w:bottom="1134" w:left="1134" w:header="708" w:footer="708" w:gutter="0"/>
          <w:cols w:num="2" w:space="566"/>
          <w:docGrid w:linePitch="360"/>
        </w:sectPr>
      </w:pPr>
    </w:p>
    <w:p w:rsidR="00FB5F40" w:rsidRPr="00026244" w:rsidRDefault="00FB5F40" w:rsidP="001F678E">
      <w:pPr>
        <w:spacing w:after="0"/>
        <w:jc w:val="both"/>
        <w:rPr>
          <w:rFonts w:ascii="Palatino Linotype" w:hAnsi="Palatino Linotype"/>
          <w:color w:val="993366"/>
          <w:sz w:val="32"/>
          <w:szCs w:val="32"/>
          <w:lang w:val="tg-Cyrl-TJ"/>
        </w:rPr>
      </w:pPr>
      <w:r w:rsidRPr="00026244">
        <w:rPr>
          <w:rFonts w:ascii="Palatino Linotype" w:hAnsi="Palatino Linotype"/>
          <w:b/>
          <w:color w:val="003300"/>
          <w:sz w:val="32"/>
          <w:szCs w:val="32"/>
          <w:lang w:val="tg-Cyrl-TJ"/>
        </w:rPr>
        <w:lastRenderedPageBreak/>
        <w:t>ФИНАНСОВАЯ ОТЧЕТНОСТЬ</w:t>
      </w:r>
    </w:p>
    <w:p w:rsidR="00FB5F40" w:rsidRPr="00026244" w:rsidRDefault="00FB5F40" w:rsidP="001F678E">
      <w:pPr>
        <w:spacing w:after="0"/>
        <w:jc w:val="both"/>
        <w:rPr>
          <w:rFonts w:ascii="Palatino Linotype" w:hAnsi="Palatino Linotype"/>
          <w:color w:val="993366"/>
          <w:sz w:val="24"/>
          <w:szCs w:val="24"/>
          <w:lang w:val="tg-Cyrl-TJ"/>
        </w:rPr>
      </w:pPr>
    </w:p>
    <w:p w:rsidR="00FB5F40" w:rsidRPr="00026244" w:rsidRDefault="00FB5F40" w:rsidP="00C74C4B">
      <w:pPr>
        <w:pStyle w:val="TradingName"/>
        <w:rPr>
          <w:rFonts w:ascii="Palatino Linotype" w:hAnsi="Palatino Linotype"/>
          <w:sz w:val="22"/>
          <w:szCs w:val="22"/>
          <w:lang w:val="ru-RU"/>
        </w:rPr>
      </w:pPr>
      <w:r w:rsidRPr="00026244">
        <w:rPr>
          <w:rFonts w:ascii="Palatino Linotype" w:hAnsi="Palatino Linotype" w:cs="Eurofont-Bold"/>
          <w:b w:val="0"/>
          <w:bCs/>
          <w:color w:val="993366"/>
          <w:sz w:val="22"/>
          <w:szCs w:val="22"/>
          <w:lang w:val="ru-RU" w:eastAsia="ru-RU"/>
        </w:rPr>
        <w:t xml:space="preserve">Аудиторская компания: </w:t>
      </w:r>
      <w:r w:rsidRPr="00026244">
        <w:rPr>
          <w:rFonts w:ascii="Palatino Linotype" w:hAnsi="Palatino Linotype"/>
          <w:color w:val="8064A2"/>
          <w:sz w:val="22"/>
          <w:szCs w:val="22"/>
          <w:lang w:val="ru-RU"/>
        </w:rPr>
        <w:t xml:space="preserve">ООО Грант </w:t>
      </w:r>
      <w:proofErr w:type="spellStart"/>
      <w:r w:rsidRPr="00026244">
        <w:rPr>
          <w:rFonts w:ascii="Palatino Linotype" w:hAnsi="Palatino Linotype"/>
          <w:color w:val="8064A2"/>
          <w:sz w:val="22"/>
          <w:szCs w:val="22"/>
          <w:lang w:val="ru-RU"/>
        </w:rPr>
        <w:t>Торнтон</w:t>
      </w:r>
      <w:proofErr w:type="spellEnd"/>
    </w:p>
    <w:p w:rsidR="00FB5F40" w:rsidRPr="00026244" w:rsidRDefault="00FB5F40" w:rsidP="001F678E">
      <w:pPr>
        <w:pStyle w:val="PartnerAddress"/>
        <w:rPr>
          <w:rFonts w:ascii="Palatino Linotype" w:hAnsi="Palatino Linotype"/>
          <w:sz w:val="22"/>
          <w:szCs w:val="22"/>
          <w:lang w:val="ru-RU"/>
        </w:rPr>
      </w:pPr>
      <w:bookmarkStart w:id="1" w:name="Address_block"/>
    </w:p>
    <w:bookmarkEnd w:id="1"/>
    <w:p w:rsidR="00FB5F40" w:rsidRPr="00026244" w:rsidRDefault="00FB5F40" w:rsidP="001F678E">
      <w:pPr>
        <w:pStyle w:val="HalfLineBreak"/>
        <w:framePr w:wrap="around"/>
        <w:rPr>
          <w:rFonts w:ascii="Palatino Linotype" w:hAnsi="Palatino Linotype"/>
          <w:sz w:val="22"/>
          <w:szCs w:val="22"/>
          <w:lang w:val="ru-RU"/>
        </w:rPr>
      </w:pPr>
    </w:p>
    <w:p w:rsidR="00FB5F40" w:rsidRPr="00026244" w:rsidRDefault="00FB5F40" w:rsidP="001F678E">
      <w:pPr>
        <w:pStyle w:val="PartnerAddress"/>
        <w:rPr>
          <w:rFonts w:ascii="Palatino Linotype" w:hAnsi="Palatino Linotype"/>
          <w:sz w:val="22"/>
          <w:szCs w:val="22"/>
          <w:lang w:val="ru-RU"/>
        </w:rPr>
      </w:pPr>
      <w:r w:rsidRPr="00026244">
        <w:rPr>
          <w:rFonts w:ascii="Palatino Linotype" w:hAnsi="Palatino Linotype" w:cs="Eurofont-Bold"/>
          <w:b/>
          <w:bCs/>
          <w:color w:val="993366"/>
          <w:sz w:val="22"/>
          <w:szCs w:val="22"/>
          <w:lang w:val="ru-RU" w:eastAsia="ru-RU"/>
        </w:rPr>
        <w:t xml:space="preserve">Место нахождения: </w:t>
      </w:r>
      <w:r w:rsidRPr="00026244">
        <w:rPr>
          <w:rFonts w:ascii="Palatino Linotype" w:hAnsi="Palatino Linotype"/>
          <w:sz w:val="22"/>
          <w:szCs w:val="22"/>
          <w:lang w:val="ru-RU"/>
        </w:rPr>
        <w:t xml:space="preserve">РТ, 734001 Душанбе, </w:t>
      </w:r>
      <w:proofErr w:type="spellStart"/>
      <w:r w:rsidRPr="00026244">
        <w:rPr>
          <w:rFonts w:ascii="Palatino Linotype" w:hAnsi="Palatino Linotype"/>
          <w:sz w:val="22"/>
          <w:szCs w:val="22"/>
          <w:lang w:val="ru-RU"/>
        </w:rPr>
        <w:t>Шотемура</w:t>
      </w:r>
      <w:proofErr w:type="spellEnd"/>
      <w:r w:rsidRPr="00026244">
        <w:rPr>
          <w:rFonts w:ascii="Palatino Linotype" w:hAnsi="Palatino Linotype"/>
          <w:sz w:val="22"/>
          <w:szCs w:val="22"/>
          <w:lang w:val="ru-RU"/>
        </w:rPr>
        <w:t xml:space="preserve"> 22</w:t>
      </w:r>
    </w:p>
    <w:p w:rsidR="00FB5F40" w:rsidRPr="00026244" w:rsidRDefault="00FB5F40" w:rsidP="001F678E">
      <w:pPr>
        <w:pStyle w:val="PartnerAddress"/>
        <w:rPr>
          <w:rFonts w:ascii="Palatino Linotype" w:hAnsi="Palatino Linotype"/>
          <w:sz w:val="22"/>
          <w:szCs w:val="22"/>
          <w:lang w:val="ru-RU"/>
        </w:rPr>
      </w:pPr>
      <w:r w:rsidRPr="00026244">
        <w:rPr>
          <w:rFonts w:ascii="Palatino Linotype" w:hAnsi="Palatino Linotype" w:cs="Eurofont-Bold"/>
          <w:b/>
          <w:bCs/>
          <w:color w:val="993366"/>
          <w:sz w:val="22"/>
          <w:szCs w:val="22"/>
          <w:lang w:val="ru-RU" w:eastAsia="ru-RU"/>
        </w:rPr>
        <w:t>телефон:</w:t>
      </w:r>
      <w:r w:rsidRPr="00026244">
        <w:rPr>
          <w:rFonts w:ascii="Palatino Linotype" w:hAnsi="Palatino Linotype"/>
          <w:sz w:val="22"/>
          <w:szCs w:val="22"/>
          <w:lang w:val="ru-RU"/>
        </w:rPr>
        <w:t xml:space="preserve"> +992 44 600 9335  </w:t>
      </w:r>
    </w:p>
    <w:p w:rsidR="00FB5F40" w:rsidRPr="00026244" w:rsidRDefault="00FB5F40" w:rsidP="001F678E">
      <w:pPr>
        <w:pStyle w:val="PartnerAddress"/>
        <w:suppressOverlap/>
        <w:rPr>
          <w:rFonts w:ascii="Palatino Linotype" w:hAnsi="Palatino Linotype"/>
          <w:sz w:val="22"/>
          <w:szCs w:val="22"/>
          <w:lang w:val="ru-RU"/>
        </w:rPr>
      </w:pPr>
      <w:r w:rsidRPr="00026244">
        <w:rPr>
          <w:rFonts w:ascii="Palatino Linotype" w:hAnsi="Palatino Linotype" w:cs="Eurofont-Bold"/>
          <w:b/>
          <w:bCs/>
          <w:color w:val="993366"/>
          <w:sz w:val="22"/>
          <w:szCs w:val="22"/>
          <w:lang w:val="ru-RU" w:eastAsia="ru-RU"/>
        </w:rPr>
        <w:t>факс:</w:t>
      </w:r>
      <w:r w:rsidRPr="00026244">
        <w:rPr>
          <w:rFonts w:ascii="Palatino Linotype" w:hAnsi="Palatino Linotype"/>
          <w:sz w:val="22"/>
          <w:szCs w:val="22"/>
          <w:lang w:val="ru-RU"/>
        </w:rPr>
        <w:t xml:space="preserve"> +992 44 600 9334</w:t>
      </w:r>
    </w:p>
    <w:p w:rsidR="00FB5F40" w:rsidRPr="00026244" w:rsidRDefault="00FB5F40" w:rsidP="001F678E">
      <w:pPr>
        <w:spacing w:after="0"/>
        <w:jc w:val="both"/>
        <w:rPr>
          <w:rFonts w:ascii="Palatino Linotype" w:hAnsi="Palatino Linotype" w:cs="Eurofont-Normal"/>
          <w:color w:val="993366"/>
          <w:lang w:eastAsia="ru-RU"/>
        </w:rPr>
      </w:pPr>
      <w:r w:rsidRPr="00026244">
        <w:rPr>
          <w:rFonts w:ascii="Palatino Linotype" w:hAnsi="Palatino Linotype"/>
          <w:lang w:val="en-GB"/>
        </w:rPr>
        <w:t>www</w:t>
      </w:r>
      <w:r w:rsidRPr="00026244">
        <w:rPr>
          <w:rFonts w:ascii="Palatino Linotype" w:hAnsi="Palatino Linotype"/>
        </w:rPr>
        <w:t>.</w:t>
      </w:r>
      <w:proofErr w:type="spellStart"/>
      <w:r w:rsidRPr="00026244">
        <w:rPr>
          <w:rFonts w:ascii="Palatino Linotype" w:hAnsi="Palatino Linotype"/>
          <w:lang w:val="en-GB"/>
        </w:rPr>
        <w:t>grantthornton</w:t>
      </w:r>
      <w:proofErr w:type="spellEnd"/>
      <w:r w:rsidRPr="00026244">
        <w:rPr>
          <w:rFonts w:ascii="Palatino Linotype" w:hAnsi="Palatino Linotype"/>
        </w:rPr>
        <w:t>.</w:t>
      </w:r>
      <w:proofErr w:type="spellStart"/>
      <w:r w:rsidRPr="00026244">
        <w:rPr>
          <w:rFonts w:ascii="Palatino Linotype" w:hAnsi="Palatino Linotype"/>
          <w:lang w:val="en-GB"/>
        </w:rPr>
        <w:t>tj</w:t>
      </w:r>
      <w:proofErr w:type="spellEnd"/>
    </w:p>
    <w:p w:rsidR="00FB5F40" w:rsidRPr="00026244" w:rsidRDefault="00FB5F40" w:rsidP="00596C1F">
      <w:pPr>
        <w:spacing w:after="0"/>
        <w:rPr>
          <w:rFonts w:ascii="Palatino Linotype" w:hAnsi="Palatino Linotype"/>
          <w:b/>
          <w:color w:val="003300"/>
          <w:sz w:val="32"/>
          <w:szCs w:val="32"/>
          <w:lang w:val="tg-Cyrl-TJ"/>
        </w:rPr>
      </w:pPr>
      <w:bookmarkStart w:id="2" w:name="_Toc258399448"/>
      <w:bookmarkStart w:id="3" w:name="_Toc324614664"/>
      <w:r w:rsidRPr="00026244">
        <w:rPr>
          <w:rFonts w:ascii="Palatino Linotype" w:hAnsi="Palatino Linotype"/>
          <w:b/>
          <w:color w:val="003300"/>
          <w:sz w:val="32"/>
          <w:szCs w:val="32"/>
          <w:lang w:val="tg-Cyrl-TJ"/>
        </w:rPr>
        <w:t>Отчет о финансовом положении</w:t>
      </w:r>
      <w:bookmarkEnd w:id="2"/>
      <w:bookmarkEnd w:id="3"/>
    </w:p>
    <w:tbl>
      <w:tblPr>
        <w:tblW w:w="8652" w:type="dxa"/>
        <w:tblCellMar>
          <w:top w:w="28" w:type="dxa"/>
          <w:left w:w="0" w:type="dxa"/>
          <w:bottom w:w="28" w:type="dxa"/>
          <w:right w:w="0" w:type="dxa"/>
        </w:tblCellMar>
        <w:tblLook w:val="0000" w:firstRow="0" w:lastRow="0" w:firstColumn="0" w:lastColumn="0" w:noHBand="0" w:noVBand="0"/>
      </w:tblPr>
      <w:tblGrid>
        <w:gridCol w:w="5106"/>
        <w:gridCol w:w="1774"/>
        <w:gridCol w:w="1772"/>
      </w:tblGrid>
      <w:tr w:rsidR="00FB5F40" w:rsidRPr="00026244" w:rsidTr="005922A7">
        <w:trPr>
          <w:tblHeader/>
        </w:trPr>
        <w:tc>
          <w:tcPr>
            <w:tcW w:w="2951" w:type="pct"/>
            <w:tcBorders>
              <w:top w:val="single" w:sz="12" w:space="0" w:color="006600"/>
              <w:bottom w:val="single" w:sz="12" w:space="0" w:color="006600"/>
            </w:tcBorders>
          </w:tcPr>
          <w:p w:rsidR="00FB5F40" w:rsidRPr="00026244" w:rsidRDefault="00FB5F40" w:rsidP="006803BD">
            <w:pPr>
              <w:pStyle w:val="TableHeading"/>
              <w:jc w:val="both"/>
              <w:rPr>
                <w:rFonts w:ascii="Palatino Linotype" w:hAnsi="Palatino Linotype"/>
                <w:b w:val="0"/>
                <w:bCs w:val="0"/>
                <w:sz w:val="18"/>
                <w:szCs w:val="18"/>
                <w:lang w:val="ru-RU"/>
              </w:rPr>
            </w:pPr>
            <w:r w:rsidRPr="00026244">
              <w:rPr>
                <w:rFonts w:ascii="Palatino Linotype" w:hAnsi="Palatino Linotype"/>
                <w:b w:val="0"/>
                <w:bCs w:val="0"/>
                <w:sz w:val="18"/>
                <w:szCs w:val="18"/>
                <w:lang w:val="ru-RU"/>
              </w:rPr>
              <w:t xml:space="preserve">В тысячах таджикских </w:t>
            </w:r>
            <w:proofErr w:type="spellStart"/>
            <w:r w:rsidRPr="00026244">
              <w:rPr>
                <w:rFonts w:ascii="Palatino Linotype" w:hAnsi="Palatino Linotype"/>
                <w:b w:val="0"/>
                <w:bCs w:val="0"/>
                <w:sz w:val="18"/>
                <w:szCs w:val="18"/>
                <w:lang w:val="ru-RU"/>
              </w:rPr>
              <w:t>сомони</w:t>
            </w:r>
            <w:proofErr w:type="spellEnd"/>
          </w:p>
        </w:tc>
        <w:tc>
          <w:tcPr>
            <w:tcW w:w="1025" w:type="pct"/>
            <w:tcBorders>
              <w:top w:val="single" w:sz="12" w:space="0" w:color="006600"/>
              <w:bottom w:val="single" w:sz="12" w:space="0" w:color="006600"/>
            </w:tcBorders>
            <w:vAlign w:val="bottom"/>
          </w:tcPr>
          <w:p w:rsidR="00FB5F40" w:rsidRPr="00026244" w:rsidRDefault="00FB5F40" w:rsidP="006803BD">
            <w:pPr>
              <w:pStyle w:val="TableHeading"/>
              <w:ind w:right="93"/>
              <w:jc w:val="right"/>
              <w:rPr>
                <w:rFonts w:ascii="Palatino Linotype" w:hAnsi="Palatino Linotype"/>
                <w:b w:val="0"/>
                <w:sz w:val="18"/>
                <w:szCs w:val="18"/>
                <w:lang w:val="ru-RU"/>
              </w:rPr>
            </w:pPr>
            <w:r w:rsidRPr="00026244">
              <w:rPr>
                <w:rFonts w:ascii="Palatino Linotype" w:hAnsi="Palatino Linotype"/>
                <w:b w:val="0"/>
                <w:sz w:val="18"/>
                <w:szCs w:val="18"/>
                <w:lang w:val="ru-RU"/>
              </w:rPr>
              <w:t>На 31 декабря</w:t>
            </w:r>
          </w:p>
          <w:p w:rsidR="00FB5F40" w:rsidRPr="00026244" w:rsidRDefault="00FB5F40" w:rsidP="006803BD">
            <w:pPr>
              <w:pStyle w:val="TableHeading"/>
              <w:ind w:right="93"/>
              <w:jc w:val="right"/>
              <w:rPr>
                <w:rFonts w:ascii="Palatino Linotype" w:hAnsi="Palatino Linotype"/>
                <w:b w:val="0"/>
                <w:sz w:val="18"/>
                <w:szCs w:val="18"/>
                <w:lang w:val="ru-RU"/>
              </w:rPr>
            </w:pPr>
            <w:r w:rsidRPr="00026244">
              <w:rPr>
                <w:rFonts w:ascii="Palatino Linotype" w:hAnsi="Palatino Linotype"/>
                <w:b w:val="0"/>
                <w:sz w:val="18"/>
                <w:szCs w:val="18"/>
                <w:lang w:val="ru-RU"/>
              </w:rPr>
              <w:t>2011</w:t>
            </w:r>
          </w:p>
          <w:p w:rsidR="00FB5F40" w:rsidRPr="00026244" w:rsidRDefault="00FB5F40" w:rsidP="006803BD">
            <w:pPr>
              <w:pStyle w:val="TableHeading"/>
              <w:ind w:right="93"/>
              <w:jc w:val="right"/>
              <w:rPr>
                <w:rFonts w:ascii="Palatino Linotype" w:hAnsi="Palatino Linotype"/>
                <w:b w:val="0"/>
                <w:sz w:val="18"/>
                <w:szCs w:val="18"/>
                <w:lang w:val="ru-RU"/>
              </w:rPr>
            </w:pPr>
            <w:r w:rsidRPr="00026244">
              <w:rPr>
                <w:rFonts w:ascii="Palatino Linotype" w:hAnsi="Palatino Linotype"/>
                <w:b w:val="0"/>
                <w:sz w:val="18"/>
                <w:szCs w:val="18"/>
                <w:lang w:val="ru-RU"/>
              </w:rPr>
              <w:t>(</w:t>
            </w:r>
            <w:proofErr w:type="spellStart"/>
            <w:r w:rsidRPr="00026244">
              <w:rPr>
                <w:rFonts w:ascii="Palatino Linotype" w:hAnsi="Palatino Linotype"/>
                <w:b w:val="0"/>
                <w:sz w:val="18"/>
                <w:szCs w:val="18"/>
                <w:lang w:val="ru-RU"/>
              </w:rPr>
              <w:t>аудировано</w:t>
            </w:r>
            <w:proofErr w:type="spellEnd"/>
            <w:r w:rsidRPr="00026244">
              <w:rPr>
                <w:rFonts w:ascii="Palatino Linotype" w:hAnsi="Palatino Linotype"/>
                <w:b w:val="0"/>
                <w:sz w:val="18"/>
                <w:szCs w:val="18"/>
                <w:lang w:val="ru-RU"/>
              </w:rPr>
              <w:t>)</w:t>
            </w:r>
          </w:p>
        </w:tc>
        <w:tc>
          <w:tcPr>
            <w:tcW w:w="1024" w:type="pct"/>
            <w:tcBorders>
              <w:top w:val="single" w:sz="12" w:space="0" w:color="006600"/>
              <w:bottom w:val="single" w:sz="12" w:space="0" w:color="006600"/>
            </w:tcBorders>
            <w:vAlign w:val="bottom"/>
          </w:tcPr>
          <w:p w:rsidR="00FB5F40" w:rsidRPr="00026244" w:rsidRDefault="00FB5F40" w:rsidP="006803BD">
            <w:pPr>
              <w:pStyle w:val="TableHeading"/>
              <w:ind w:right="93"/>
              <w:jc w:val="right"/>
              <w:rPr>
                <w:rFonts w:ascii="Palatino Linotype" w:hAnsi="Palatino Linotype"/>
                <w:b w:val="0"/>
                <w:sz w:val="18"/>
                <w:szCs w:val="18"/>
                <w:lang w:val="ru-RU"/>
              </w:rPr>
            </w:pPr>
            <w:r w:rsidRPr="00026244">
              <w:rPr>
                <w:rFonts w:ascii="Palatino Linotype" w:hAnsi="Palatino Linotype"/>
                <w:b w:val="0"/>
                <w:sz w:val="18"/>
                <w:szCs w:val="18"/>
                <w:lang w:val="ru-RU"/>
              </w:rPr>
              <w:t>На 31 декабря</w:t>
            </w:r>
          </w:p>
          <w:p w:rsidR="00FB5F40" w:rsidRPr="00026244" w:rsidRDefault="00FB5F40" w:rsidP="006803BD">
            <w:pPr>
              <w:pStyle w:val="TableHeading"/>
              <w:ind w:right="93"/>
              <w:jc w:val="right"/>
              <w:rPr>
                <w:rFonts w:ascii="Palatino Linotype" w:hAnsi="Palatino Linotype"/>
                <w:sz w:val="18"/>
                <w:szCs w:val="18"/>
                <w:lang w:val="ru-RU"/>
              </w:rPr>
            </w:pPr>
            <w:r w:rsidRPr="00026244">
              <w:rPr>
                <w:rFonts w:ascii="Palatino Linotype" w:hAnsi="Palatino Linotype"/>
                <w:b w:val="0"/>
                <w:sz w:val="18"/>
                <w:szCs w:val="18"/>
                <w:lang w:val="ru-RU"/>
              </w:rPr>
              <w:t>2010         (</w:t>
            </w:r>
            <w:proofErr w:type="spellStart"/>
            <w:r w:rsidRPr="00026244">
              <w:rPr>
                <w:rFonts w:ascii="Palatino Linotype" w:hAnsi="Palatino Linotype"/>
                <w:b w:val="0"/>
                <w:sz w:val="18"/>
                <w:szCs w:val="18"/>
                <w:lang w:val="ru-RU"/>
              </w:rPr>
              <w:t>аудировано</w:t>
            </w:r>
            <w:proofErr w:type="spellEnd"/>
            <w:r w:rsidRPr="00026244">
              <w:rPr>
                <w:rFonts w:ascii="Palatino Linotype" w:hAnsi="Palatino Linotype"/>
                <w:b w:val="0"/>
                <w:sz w:val="18"/>
                <w:szCs w:val="18"/>
                <w:lang w:val="ru-RU"/>
              </w:rPr>
              <w:t>)</w:t>
            </w:r>
          </w:p>
        </w:tc>
      </w:tr>
      <w:tr w:rsidR="00FB5F40" w:rsidRPr="00026244" w:rsidTr="005922A7">
        <w:trPr>
          <w:tblHeader/>
        </w:trPr>
        <w:tc>
          <w:tcPr>
            <w:tcW w:w="2951" w:type="pct"/>
            <w:tcBorders>
              <w:top w:val="single" w:sz="12" w:space="0" w:color="006600"/>
            </w:tcBorders>
          </w:tcPr>
          <w:p w:rsidR="00FB5F40" w:rsidRPr="00026244" w:rsidRDefault="00FB5F40" w:rsidP="006803BD">
            <w:pPr>
              <w:pStyle w:val="TableText"/>
              <w:jc w:val="both"/>
              <w:rPr>
                <w:rFonts w:ascii="Palatino Linotype" w:hAnsi="Palatino Linotype" w:cs="Arial"/>
                <w:b/>
                <w:sz w:val="18"/>
                <w:szCs w:val="18"/>
                <w:lang w:val="ru-RU" w:eastAsia="en-US"/>
              </w:rPr>
            </w:pPr>
            <w:r w:rsidRPr="00026244">
              <w:rPr>
                <w:rFonts w:ascii="Palatino Linotype" w:hAnsi="Palatino Linotype" w:cs="Arial"/>
                <w:b/>
                <w:sz w:val="18"/>
                <w:szCs w:val="18"/>
                <w:lang w:val="ru-RU" w:eastAsia="en-US"/>
              </w:rPr>
              <w:t>АКТИВЫ</w:t>
            </w:r>
          </w:p>
        </w:tc>
        <w:tc>
          <w:tcPr>
            <w:tcW w:w="1025" w:type="pct"/>
            <w:tcBorders>
              <w:top w:val="single" w:sz="12" w:space="0" w:color="006600"/>
            </w:tcBorders>
            <w:vAlign w:val="center"/>
          </w:tcPr>
          <w:p w:rsidR="00FB5F40" w:rsidRPr="00026244" w:rsidRDefault="00FB5F40" w:rsidP="006803BD">
            <w:pPr>
              <w:pStyle w:val="TableText"/>
              <w:ind w:right="93"/>
              <w:jc w:val="both"/>
              <w:rPr>
                <w:rFonts w:ascii="Palatino Linotype" w:hAnsi="Palatino Linotype" w:cs="Arial"/>
                <w:sz w:val="18"/>
                <w:szCs w:val="18"/>
                <w:lang w:val="ru-RU" w:eastAsia="en-US"/>
              </w:rPr>
            </w:pPr>
          </w:p>
        </w:tc>
        <w:tc>
          <w:tcPr>
            <w:tcW w:w="1024" w:type="pct"/>
            <w:tcBorders>
              <w:top w:val="single" w:sz="12" w:space="0" w:color="006600"/>
            </w:tcBorders>
            <w:vAlign w:val="center"/>
          </w:tcPr>
          <w:p w:rsidR="00FB5F40" w:rsidRPr="00026244" w:rsidRDefault="00FB5F40" w:rsidP="006803BD">
            <w:pPr>
              <w:pStyle w:val="TableText"/>
              <w:tabs>
                <w:tab w:val="left" w:pos="1446"/>
              </w:tabs>
              <w:ind w:right="93"/>
              <w:jc w:val="both"/>
              <w:rPr>
                <w:rFonts w:ascii="Palatino Linotype" w:hAnsi="Palatino Linotype" w:cs="Arial"/>
                <w:sz w:val="18"/>
                <w:szCs w:val="18"/>
                <w:lang w:val="ru-RU" w:eastAsia="en-US"/>
              </w:rPr>
            </w:pP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val="ru-RU" w:eastAsia="en-US"/>
              </w:rPr>
            </w:pPr>
            <w:r w:rsidRPr="00026244">
              <w:rPr>
                <w:rFonts w:ascii="Palatino Linotype" w:hAnsi="Palatino Linotype" w:cs="Arial"/>
                <w:sz w:val="18"/>
                <w:szCs w:val="18"/>
                <w:lang w:val="ru-RU" w:eastAsia="en-US"/>
              </w:rPr>
              <w:t>Денежные средства и счета в НБТ</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326,261</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315,097</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val="ru-RU" w:eastAsia="en-US"/>
              </w:rPr>
            </w:pPr>
            <w:r w:rsidRPr="00026244">
              <w:rPr>
                <w:rFonts w:ascii="Palatino Linotype" w:hAnsi="Palatino Linotype" w:cs="Arial"/>
                <w:bCs/>
                <w:sz w:val="18"/>
                <w:szCs w:val="18"/>
                <w:lang w:val="ru-RU" w:eastAsia="en-US"/>
              </w:rPr>
              <w:t>Средства в других финансовых организациях</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315,807</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203,889</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bCs/>
                <w:sz w:val="18"/>
                <w:szCs w:val="18"/>
                <w:lang w:val="ru-RU" w:eastAsia="en-US"/>
              </w:rPr>
              <w:t>Кредиты</w:t>
            </w:r>
            <w:r w:rsidR="00B9305A" w:rsidRPr="00026244">
              <w:rPr>
                <w:rFonts w:ascii="Palatino Linotype" w:hAnsi="Palatino Linotype" w:cs="Arial"/>
                <w:bCs/>
                <w:sz w:val="18"/>
                <w:szCs w:val="18"/>
                <w:lang w:val="en-US" w:eastAsia="en-US"/>
              </w:rPr>
              <w:t xml:space="preserve"> </w:t>
            </w:r>
            <w:r w:rsidRPr="00026244">
              <w:rPr>
                <w:rFonts w:ascii="Palatino Linotype" w:hAnsi="Palatino Linotype" w:cs="Arial"/>
                <w:bCs/>
                <w:sz w:val="18"/>
                <w:szCs w:val="18"/>
                <w:lang w:val="ru-RU" w:eastAsia="en-US"/>
              </w:rPr>
              <w:t>и</w:t>
            </w:r>
            <w:r w:rsidR="00B9305A" w:rsidRPr="00026244">
              <w:rPr>
                <w:rFonts w:ascii="Palatino Linotype" w:hAnsi="Palatino Linotype" w:cs="Arial"/>
                <w:bCs/>
                <w:sz w:val="18"/>
                <w:szCs w:val="18"/>
                <w:lang w:val="en-US" w:eastAsia="en-US"/>
              </w:rPr>
              <w:t xml:space="preserve"> </w:t>
            </w:r>
            <w:r w:rsidRPr="00026244">
              <w:rPr>
                <w:rFonts w:ascii="Palatino Linotype" w:hAnsi="Palatino Linotype" w:cs="Arial"/>
                <w:bCs/>
                <w:sz w:val="18"/>
                <w:szCs w:val="18"/>
                <w:lang w:val="ru-RU" w:eastAsia="en-US"/>
              </w:rPr>
              <w:t>авансы</w:t>
            </w:r>
            <w:r w:rsidR="00B9305A" w:rsidRPr="00026244">
              <w:rPr>
                <w:rFonts w:ascii="Palatino Linotype" w:hAnsi="Palatino Linotype" w:cs="Arial"/>
                <w:bCs/>
                <w:sz w:val="18"/>
                <w:szCs w:val="18"/>
                <w:lang w:val="en-US" w:eastAsia="en-US"/>
              </w:rPr>
              <w:t xml:space="preserve"> </w:t>
            </w:r>
            <w:r w:rsidRPr="00026244">
              <w:rPr>
                <w:rFonts w:ascii="Palatino Linotype" w:hAnsi="Palatino Linotype" w:cs="Arial"/>
                <w:bCs/>
                <w:sz w:val="18"/>
                <w:szCs w:val="18"/>
                <w:lang w:val="ru-RU" w:eastAsia="en-US"/>
              </w:rPr>
              <w:t>клиентам</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261,843</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215,478</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val="ru-RU" w:eastAsia="en-US"/>
              </w:rPr>
            </w:pPr>
            <w:r w:rsidRPr="00026244">
              <w:rPr>
                <w:rFonts w:ascii="Palatino Linotype" w:hAnsi="Palatino Linotype" w:cs="Arial"/>
                <w:bCs/>
                <w:sz w:val="18"/>
                <w:szCs w:val="18"/>
                <w:lang w:val="ru-RU" w:eastAsia="en-US"/>
              </w:rPr>
              <w:t>Финансовые активы, имеющиеся в наличии для продажи</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11,000</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11,000</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val="ru-RU" w:eastAsia="en-US"/>
              </w:rPr>
            </w:pPr>
            <w:r w:rsidRPr="00026244">
              <w:rPr>
                <w:rFonts w:ascii="Palatino Linotype" w:hAnsi="Palatino Linotype" w:cs="Arial"/>
                <w:bCs/>
                <w:sz w:val="18"/>
                <w:szCs w:val="18"/>
                <w:lang w:val="ru-RU" w:eastAsia="en-US"/>
              </w:rPr>
              <w:t>Финансовые активы, удерживаемые до погашения</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5,750</w:t>
            </w:r>
          </w:p>
        </w:tc>
      </w:tr>
      <w:tr w:rsidR="00FB5F40" w:rsidRPr="00026244" w:rsidTr="007B2184">
        <w:tc>
          <w:tcPr>
            <w:tcW w:w="2951" w:type="pct"/>
          </w:tcPr>
          <w:p w:rsidR="00FB5F40" w:rsidRPr="00026244" w:rsidRDefault="00FB5F40" w:rsidP="00B42721">
            <w:pPr>
              <w:pStyle w:val="TableText"/>
              <w:rPr>
                <w:rFonts w:ascii="Palatino Linotype" w:hAnsi="Palatino Linotype" w:cs="Arial"/>
                <w:bCs/>
                <w:sz w:val="18"/>
                <w:szCs w:val="18"/>
                <w:lang w:val="ru-RU" w:eastAsia="en-US"/>
              </w:rPr>
            </w:pPr>
            <w:r w:rsidRPr="00026244">
              <w:rPr>
                <w:rFonts w:ascii="Palatino Linotype" w:hAnsi="Palatino Linotype" w:cs="Arial"/>
                <w:bCs/>
                <w:sz w:val="18"/>
                <w:szCs w:val="18"/>
                <w:lang w:val="ru-RU" w:eastAsia="en-US"/>
              </w:rPr>
              <w:t>Основные средства</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108,844</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106,671</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bCs/>
                <w:sz w:val="18"/>
                <w:szCs w:val="18"/>
                <w:lang w:val="en-US" w:eastAsia="en-US"/>
              </w:rPr>
              <w:t>Н</w:t>
            </w:r>
            <w:proofErr w:type="spellStart"/>
            <w:r w:rsidRPr="00026244">
              <w:rPr>
                <w:rFonts w:ascii="Palatino Linotype" w:hAnsi="Palatino Linotype" w:cs="Arial"/>
                <w:bCs/>
                <w:sz w:val="18"/>
                <w:szCs w:val="18"/>
                <w:lang w:val="ru-RU" w:eastAsia="en-US"/>
              </w:rPr>
              <w:t>ематериальные</w:t>
            </w:r>
            <w:proofErr w:type="spellEnd"/>
            <w:r w:rsidRPr="00026244">
              <w:rPr>
                <w:rFonts w:ascii="Palatino Linotype" w:hAnsi="Palatino Linotype" w:cs="Arial"/>
                <w:bCs/>
                <w:sz w:val="18"/>
                <w:szCs w:val="18"/>
                <w:lang w:val="ru-RU" w:eastAsia="en-US"/>
              </w:rPr>
              <w:t xml:space="preserve"> активы</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517</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619</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bCs/>
                <w:sz w:val="18"/>
                <w:szCs w:val="18"/>
                <w:lang w:val="ru-RU" w:eastAsia="en-US"/>
              </w:rPr>
              <w:t>Прочие активы</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9,881</w:t>
            </w:r>
          </w:p>
        </w:tc>
        <w:tc>
          <w:tcPr>
            <w:tcW w:w="1024" w:type="pct"/>
          </w:tcPr>
          <w:p w:rsidR="00FB5F40" w:rsidRPr="00026244" w:rsidRDefault="00FB5F40" w:rsidP="00C74C4B">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w:t>
            </w:r>
            <w:r w:rsidRPr="00026244">
              <w:rPr>
                <w:rFonts w:ascii="Palatino Linotype" w:hAnsi="Palatino Linotype" w:cs="Arial"/>
                <w:sz w:val="18"/>
                <w:szCs w:val="18"/>
                <w:lang w:val="ru-RU" w:eastAsia="en-US"/>
              </w:rPr>
              <w:t>8</w:t>
            </w:r>
            <w:r w:rsidRPr="00026244">
              <w:rPr>
                <w:rFonts w:ascii="Palatino Linotype" w:hAnsi="Palatino Linotype" w:cs="Arial"/>
                <w:sz w:val="18"/>
                <w:szCs w:val="18"/>
                <w:lang w:eastAsia="en-US"/>
              </w:rPr>
              <w:t>,4</w:t>
            </w:r>
            <w:r w:rsidRPr="00026244">
              <w:rPr>
                <w:rFonts w:ascii="Palatino Linotype" w:hAnsi="Palatino Linotype" w:cs="Arial"/>
                <w:sz w:val="18"/>
                <w:szCs w:val="18"/>
                <w:lang w:val="ru-RU" w:eastAsia="en-US"/>
              </w:rPr>
              <w:t>65</w:t>
            </w:r>
          </w:p>
        </w:tc>
      </w:tr>
      <w:tr w:rsidR="00FB5F40" w:rsidRPr="00026244" w:rsidTr="007B2184">
        <w:tc>
          <w:tcPr>
            <w:tcW w:w="2951" w:type="pct"/>
            <w:vAlign w:val="center"/>
          </w:tcPr>
          <w:p w:rsidR="00FB5F40" w:rsidRPr="00026244" w:rsidRDefault="00FB5F40" w:rsidP="00B42721">
            <w:pPr>
              <w:pStyle w:val="TableText"/>
              <w:rPr>
                <w:rFonts w:ascii="Palatino Linotype" w:hAnsi="Palatino Linotype" w:cs="Arial"/>
                <w:b/>
                <w:caps/>
                <w:sz w:val="18"/>
                <w:szCs w:val="18"/>
                <w:lang w:eastAsia="en-US"/>
              </w:rPr>
            </w:pPr>
            <w:r w:rsidRPr="00026244">
              <w:rPr>
                <w:rFonts w:ascii="Palatino Linotype" w:hAnsi="Palatino Linotype" w:cs="Arial"/>
                <w:b/>
                <w:caps/>
                <w:sz w:val="18"/>
                <w:szCs w:val="18"/>
                <w:lang w:val="ru-RU" w:eastAsia="en-US"/>
              </w:rPr>
              <w:t>ИТОГО АКТИВОВ</w:t>
            </w:r>
          </w:p>
        </w:tc>
        <w:tc>
          <w:tcPr>
            <w:tcW w:w="1025" w:type="pct"/>
          </w:tcPr>
          <w:p w:rsidR="00FB5F40" w:rsidRPr="00026244" w:rsidRDefault="00FB5F40" w:rsidP="006803BD">
            <w:pPr>
              <w:pStyle w:val="TableTotal"/>
              <w:ind w:right="93"/>
              <w:jc w:val="right"/>
              <w:rPr>
                <w:rFonts w:ascii="Palatino Linotype" w:hAnsi="Palatino Linotype"/>
                <w:bCs/>
                <w:sz w:val="18"/>
                <w:szCs w:val="18"/>
                <w:lang w:eastAsia="en-US"/>
              </w:rPr>
            </w:pPr>
            <w:r w:rsidRPr="00026244">
              <w:rPr>
                <w:rFonts w:ascii="Palatino Linotype" w:hAnsi="Palatino Linotype"/>
                <w:bCs/>
                <w:sz w:val="18"/>
                <w:szCs w:val="18"/>
                <w:lang w:eastAsia="en-US"/>
              </w:rPr>
              <w:t>1,034,153</w:t>
            </w:r>
          </w:p>
        </w:tc>
        <w:tc>
          <w:tcPr>
            <w:tcW w:w="1024" w:type="pct"/>
          </w:tcPr>
          <w:p w:rsidR="00FB5F40" w:rsidRPr="00026244" w:rsidRDefault="00FB5F40" w:rsidP="006803BD">
            <w:pPr>
              <w:pStyle w:val="TableTotal"/>
              <w:ind w:right="93"/>
              <w:jc w:val="right"/>
              <w:rPr>
                <w:rFonts w:ascii="Palatino Linotype" w:hAnsi="Palatino Linotype"/>
                <w:bCs/>
                <w:sz w:val="18"/>
                <w:szCs w:val="18"/>
                <w:lang w:eastAsia="en-US"/>
              </w:rPr>
            </w:pPr>
            <w:r w:rsidRPr="00026244">
              <w:rPr>
                <w:rFonts w:ascii="Palatino Linotype" w:hAnsi="Palatino Linotype"/>
                <w:bCs/>
                <w:sz w:val="18"/>
                <w:szCs w:val="18"/>
                <w:lang w:eastAsia="en-US"/>
              </w:rPr>
              <w:t>876,969</w:t>
            </w:r>
          </w:p>
        </w:tc>
      </w:tr>
      <w:tr w:rsidR="00FB5F40" w:rsidRPr="00026244" w:rsidTr="007B2184">
        <w:tc>
          <w:tcPr>
            <w:tcW w:w="2951" w:type="pct"/>
            <w:vAlign w:val="bottom"/>
          </w:tcPr>
          <w:p w:rsidR="00FB5F40" w:rsidRPr="00026244" w:rsidRDefault="00FB5F40" w:rsidP="00B42721">
            <w:pPr>
              <w:pStyle w:val="TableText"/>
              <w:rPr>
                <w:rFonts w:ascii="Palatino Linotype" w:hAnsi="Palatino Linotype" w:cs="Arial"/>
                <w:sz w:val="18"/>
                <w:szCs w:val="18"/>
                <w:lang w:eastAsia="en-US"/>
              </w:rPr>
            </w:pP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p>
        </w:tc>
        <w:tc>
          <w:tcPr>
            <w:tcW w:w="1024" w:type="pct"/>
          </w:tcPr>
          <w:p w:rsidR="00FB5F40" w:rsidRPr="00026244" w:rsidRDefault="00FB5F40" w:rsidP="006803BD">
            <w:pPr>
              <w:pStyle w:val="TableText"/>
              <w:ind w:right="93"/>
              <w:jc w:val="right"/>
              <w:rPr>
                <w:rFonts w:ascii="Palatino Linotype" w:hAnsi="Palatino Linotype" w:cs="Arial"/>
                <w:sz w:val="18"/>
                <w:szCs w:val="18"/>
                <w:lang w:eastAsia="en-US"/>
              </w:rPr>
            </w:pPr>
          </w:p>
        </w:tc>
      </w:tr>
      <w:tr w:rsidR="00FB5F40" w:rsidRPr="00026244" w:rsidTr="007B2184">
        <w:tc>
          <w:tcPr>
            <w:tcW w:w="2951" w:type="pct"/>
            <w:vAlign w:val="bottom"/>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b/>
                <w:sz w:val="18"/>
                <w:szCs w:val="18"/>
                <w:lang w:val="ru-RU" w:eastAsia="en-US"/>
              </w:rPr>
              <w:t>ОБЯЗАТЕЛЬСТВА И СОБСТВЕННЫЙ КАПИТАЛ</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p>
        </w:tc>
        <w:tc>
          <w:tcPr>
            <w:tcW w:w="1024" w:type="pct"/>
          </w:tcPr>
          <w:p w:rsidR="00FB5F40" w:rsidRPr="00026244" w:rsidRDefault="00FB5F40" w:rsidP="006803BD">
            <w:pPr>
              <w:pStyle w:val="TableText"/>
              <w:ind w:right="93"/>
              <w:jc w:val="right"/>
              <w:rPr>
                <w:rFonts w:ascii="Palatino Linotype" w:hAnsi="Palatino Linotype" w:cs="Arial"/>
                <w:sz w:val="18"/>
                <w:szCs w:val="18"/>
                <w:lang w:eastAsia="en-US"/>
              </w:rPr>
            </w:pPr>
          </w:p>
        </w:tc>
      </w:tr>
      <w:tr w:rsidR="00FB5F40" w:rsidRPr="00026244" w:rsidTr="007B2184">
        <w:tc>
          <w:tcPr>
            <w:tcW w:w="2951" w:type="pct"/>
            <w:vAlign w:val="bottom"/>
          </w:tcPr>
          <w:p w:rsidR="00FB5F40" w:rsidRPr="00026244" w:rsidRDefault="00FB5F40" w:rsidP="00B42721">
            <w:pPr>
              <w:pStyle w:val="TableText"/>
              <w:rPr>
                <w:rFonts w:ascii="Palatino Linotype" w:hAnsi="Palatino Linotype" w:cs="Arial"/>
                <w:b/>
                <w:sz w:val="18"/>
                <w:szCs w:val="18"/>
                <w:lang w:eastAsia="en-US"/>
              </w:rPr>
            </w:pPr>
            <w:r w:rsidRPr="00026244">
              <w:rPr>
                <w:rFonts w:ascii="Palatino Linotype" w:hAnsi="Palatino Linotype" w:cs="Arial"/>
                <w:b/>
                <w:sz w:val="18"/>
                <w:szCs w:val="18"/>
                <w:lang w:val="ru-RU" w:eastAsia="en-US"/>
              </w:rPr>
              <w:t>Обязательства</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p>
        </w:tc>
        <w:tc>
          <w:tcPr>
            <w:tcW w:w="1024" w:type="pct"/>
          </w:tcPr>
          <w:p w:rsidR="00FB5F40" w:rsidRPr="00026244" w:rsidRDefault="00FB5F40" w:rsidP="006803BD">
            <w:pPr>
              <w:pStyle w:val="TableText"/>
              <w:ind w:right="93"/>
              <w:jc w:val="right"/>
              <w:rPr>
                <w:rFonts w:ascii="Palatino Linotype" w:hAnsi="Palatino Linotype" w:cs="Arial"/>
                <w:sz w:val="18"/>
                <w:szCs w:val="18"/>
                <w:lang w:eastAsia="en-US"/>
              </w:rPr>
            </w:pP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sz w:val="18"/>
                <w:szCs w:val="18"/>
                <w:lang w:val="ru-RU" w:eastAsia="en-US"/>
              </w:rPr>
              <w:t>Средства финансовых организаций</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55,333</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48,871</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sz w:val="18"/>
                <w:szCs w:val="18"/>
                <w:lang w:val="ru-RU" w:eastAsia="en-US"/>
              </w:rPr>
              <w:t>Средства</w:t>
            </w:r>
            <w:r w:rsidR="00B9305A" w:rsidRPr="00026244">
              <w:rPr>
                <w:rFonts w:ascii="Palatino Linotype" w:hAnsi="Palatino Linotype" w:cs="Arial"/>
                <w:sz w:val="18"/>
                <w:szCs w:val="18"/>
                <w:lang w:val="en-US" w:eastAsia="en-US"/>
              </w:rPr>
              <w:t xml:space="preserve"> </w:t>
            </w:r>
            <w:r w:rsidRPr="00026244">
              <w:rPr>
                <w:rFonts w:ascii="Palatino Linotype" w:hAnsi="Palatino Linotype" w:cs="Arial"/>
                <w:sz w:val="18"/>
                <w:szCs w:val="18"/>
                <w:lang w:val="ru-RU" w:eastAsia="en-US"/>
              </w:rPr>
              <w:t>клиентов</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826,854</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693,036</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val="ru-RU" w:eastAsia="en-US"/>
              </w:rPr>
            </w:pPr>
            <w:proofErr w:type="spellStart"/>
            <w:r w:rsidRPr="00026244">
              <w:rPr>
                <w:rFonts w:ascii="Palatino Linotype" w:hAnsi="Palatino Linotype" w:cs="Arial"/>
                <w:sz w:val="18"/>
                <w:szCs w:val="18"/>
                <w:lang w:eastAsia="en-US"/>
              </w:rPr>
              <w:t>Субординированный</w:t>
            </w:r>
            <w:proofErr w:type="spellEnd"/>
            <w:r w:rsidR="00B9305A" w:rsidRPr="00026244">
              <w:rPr>
                <w:rFonts w:ascii="Palatino Linotype" w:hAnsi="Palatino Linotype" w:cs="Arial"/>
                <w:sz w:val="18"/>
                <w:szCs w:val="18"/>
                <w:lang w:eastAsia="en-US"/>
              </w:rPr>
              <w:t xml:space="preserve"> </w:t>
            </w:r>
            <w:proofErr w:type="spellStart"/>
            <w:r w:rsidRPr="00026244">
              <w:rPr>
                <w:rFonts w:ascii="Palatino Linotype" w:hAnsi="Palatino Linotype" w:cs="Arial"/>
                <w:sz w:val="18"/>
                <w:szCs w:val="18"/>
                <w:lang w:eastAsia="en-US"/>
              </w:rPr>
              <w:t>долг</w:t>
            </w:r>
            <w:proofErr w:type="spellEnd"/>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3,000</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3,000</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proofErr w:type="spellStart"/>
            <w:r w:rsidRPr="00026244">
              <w:rPr>
                <w:rFonts w:ascii="Palatino Linotype" w:hAnsi="Palatino Linotype" w:cs="Arial"/>
                <w:sz w:val="18"/>
                <w:szCs w:val="18"/>
                <w:lang w:eastAsia="en-US"/>
              </w:rPr>
              <w:t>Отложенные</w:t>
            </w:r>
            <w:proofErr w:type="spellEnd"/>
            <w:r w:rsidR="00B9305A" w:rsidRPr="00026244">
              <w:rPr>
                <w:rFonts w:ascii="Palatino Linotype" w:hAnsi="Palatino Linotype" w:cs="Arial"/>
                <w:sz w:val="18"/>
                <w:szCs w:val="18"/>
                <w:lang w:eastAsia="en-US"/>
              </w:rPr>
              <w:t xml:space="preserve"> </w:t>
            </w:r>
            <w:proofErr w:type="spellStart"/>
            <w:r w:rsidRPr="00026244">
              <w:rPr>
                <w:rFonts w:ascii="Palatino Linotype" w:hAnsi="Palatino Linotype" w:cs="Arial"/>
                <w:sz w:val="18"/>
                <w:szCs w:val="18"/>
                <w:lang w:eastAsia="en-US"/>
              </w:rPr>
              <w:t>налоговые</w:t>
            </w:r>
            <w:proofErr w:type="spellEnd"/>
            <w:r w:rsidR="00B9305A" w:rsidRPr="00026244">
              <w:rPr>
                <w:rFonts w:ascii="Palatino Linotype" w:hAnsi="Palatino Linotype" w:cs="Arial"/>
                <w:sz w:val="18"/>
                <w:szCs w:val="18"/>
                <w:lang w:eastAsia="en-US"/>
              </w:rPr>
              <w:t xml:space="preserve"> </w:t>
            </w:r>
            <w:proofErr w:type="spellStart"/>
            <w:r w:rsidRPr="00026244">
              <w:rPr>
                <w:rFonts w:ascii="Palatino Linotype" w:hAnsi="Palatino Linotype" w:cs="Arial"/>
                <w:sz w:val="18"/>
                <w:szCs w:val="18"/>
                <w:lang w:eastAsia="en-US"/>
              </w:rPr>
              <w:t>обязательства</w:t>
            </w:r>
            <w:proofErr w:type="spellEnd"/>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10,893</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11,512</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sz w:val="18"/>
                <w:szCs w:val="18"/>
                <w:lang w:val="ru-RU" w:eastAsia="en-US"/>
              </w:rPr>
              <w:t xml:space="preserve">Прочие обязательства </w:t>
            </w:r>
          </w:p>
        </w:tc>
        <w:tc>
          <w:tcPr>
            <w:tcW w:w="1025" w:type="pct"/>
          </w:tcPr>
          <w:p w:rsidR="00FB5F40" w:rsidRPr="00026244" w:rsidRDefault="00FB5F40" w:rsidP="00C74C4B">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12,</w:t>
            </w:r>
            <w:r w:rsidRPr="00026244">
              <w:rPr>
                <w:rFonts w:ascii="Palatino Linotype" w:hAnsi="Palatino Linotype" w:cs="Arial"/>
                <w:sz w:val="18"/>
                <w:szCs w:val="18"/>
                <w:lang w:val="ru-RU" w:eastAsia="en-US"/>
              </w:rPr>
              <w:t>491</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11,051</w:t>
            </w:r>
          </w:p>
        </w:tc>
      </w:tr>
      <w:tr w:rsidR="00FB5F40" w:rsidRPr="00026244" w:rsidTr="007B2184">
        <w:tc>
          <w:tcPr>
            <w:tcW w:w="2951" w:type="pct"/>
            <w:vAlign w:val="bottom"/>
          </w:tcPr>
          <w:p w:rsidR="00FB5F40" w:rsidRPr="00026244" w:rsidRDefault="00FB5F40" w:rsidP="00B42721">
            <w:pPr>
              <w:pStyle w:val="TableText"/>
              <w:rPr>
                <w:rFonts w:ascii="Palatino Linotype" w:hAnsi="Palatino Linotype" w:cs="Arial"/>
                <w:b/>
                <w:sz w:val="18"/>
                <w:szCs w:val="18"/>
                <w:lang w:eastAsia="en-US"/>
              </w:rPr>
            </w:pPr>
            <w:r w:rsidRPr="00026244">
              <w:rPr>
                <w:rFonts w:ascii="Palatino Linotype" w:hAnsi="Palatino Linotype" w:cs="Arial"/>
                <w:b/>
                <w:sz w:val="18"/>
                <w:szCs w:val="18"/>
                <w:lang w:val="ru-RU" w:eastAsia="en-US"/>
              </w:rPr>
              <w:t>Итого обязательств</w:t>
            </w:r>
          </w:p>
        </w:tc>
        <w:tc>
          <w:tcPr>
            <w:tcW w:w="1025" w:type="pct"/>
          </w:tcPr>
          <w:p w:rsidR="00FB5F40" w:rsidRPr="00026244" w:rsidRDefault="00FB5F40" w:rsidP="006803BD">
            <w:pPr>
              <w:pStyle w:val="TableSubTot"/>
              <w:ind w:right="93"/>
              <w:jc w:val="right"/>
              <w:rPr>
                <w:rFonts w:ascii="Palatino Linotype" w:hAnsi="Palatino Linotype"/>
                <w:sz w:val="18"/>
                <w:szCs w:val="18"/>
                <w:lang w:eastAsia="en-US"/>
              </w:rPr>
            </w:pPr>
            <w:r w:rsidRPr="00026244">
              <w:rPr>
                <w:rFonts w:ascii="Palatino Linotype" w:hAnsi="Palatino Linotype"/>
                <w:sz w:val="18"/>
                <w:szCs w:val="18"/>
                <w:lang w:eastAsia="en-US"/>
              </w:rPr>
              <w:t>908,571</w:t>
            </w:r>
          </w:p>
        </w:tc>
        <w:tc>
          <w:tcPr>
            <w:tcW w:w="1024" w:type="pct"/>
          </w:tcPr>
          <w:p w:rsidR="00FB5F40" w:rsidRPr="00026244" w:rsidRDefault="00FB5F40" w:rsidP="006803BD">
            <w:pPr>
              <w:pStyle w:val="TableSubTot"/>
              <w:ind w:right="93"/>
              <w:jc w:val="right"/>
              <w:rPr>
                <w:rFonts w:ascii="Palatino Linotype" w:hAnsi="Palatino Linotype"/>
                <w:sz w:val="18"/>
                <w:szCs w:val="18"/>
                <w:lang w:eastAsia="en-US"/>
              </w:rPr>
            </w:pPr>
            <w:r w:rsidRPr="00026244">
              <w:rPr>
                <w:rFonts w:ascii="Palatino Linotype" w:hAnsi="Palatino Linotype"/>
                <w:sz w:val="18"/>
                <w:szCs w:val="18"/>
                <w:lang w:eastAsia="en-US"/>
              </w:rPr>
              <w:t>767,470</w:t>
            </w:r>
          </w:p>
        </w:tc>
      </w:tr>
      <w:tr w:rsidR="00FB5F40" w:rsidRPr="00026244" w:rsidTr="007B2184">
        <w:tc>
          <w:tcPr>
            <w:tcW w:w="2951" w:type="pct"/>
            <w:vAlign w:val="bottom"/>
          </w:tcPr>
          <w:p w:rsidR="00FB5F40" w:rsidRPr="00026244" w:rsidRDefault="00FB5F40" w:rsidP="005A7C10">
            <w:pPr>
              <w:pStyle w:val="TableText"/>
              <w:rPr>
                <w:rFonts w:ascii="Palatino Linotype" w:hAnsi="Palatino Linotype" w:cs="Arial"/>
                <w:b/>
                <w:sz w:val="18"/>
                <w:szCs w:val="18"/>
                <w:lang w:eastAsia="en-US"/>
              </w:rPr>
            </w:pPr>
            <w:r w:rsidRPr="00026244">
              <w:rPr>
                <w:rFonts w:ascii="Palatino Linotype" w:hAnsi="Palatino Linotype" w:cs="Arial"/>
                <w:b/>
                <w:sz w:val="18"/>
                <w:szCs w:val="18"/>
                <w:lang w:val="ru-RU" w:eastAsia="en-US"/>
              </w:rPr>
              <w:t>СОБСТВЕННЫЙ КАПИТАЛ</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p>
        </w:tc>
        <w:tc>
          <w:tcPr>
            <w:tcW w:w="1024" w:type="pct"/>
          </w:tcPr>
          <w:p w:rsidR="00FB5F40" w:rsidRPr="00026244" w:rsidRDefault="00FB5F40" w:rsidP="006803BD">
            <w:pPr>
              <w:pStyle w:val="TableText"/>
              <w:ind w:right="93"/>
              <w:jc w:val="right"/>
              <w:rPr>
                <w:rFonts w:ascii="Palatino Linotype" w:hAnsi="Palatino Linotype" w:cs="Arial"/>
                <w:sz w:val="18"/>
                <w:szCs w:val="18"/>
                <w:lang w:eastAsia="en-US"/>
              </w:rPr>
            </w:pP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sz w:val="18"/>
                <w:szCs w:val="18"/>
                <w:lang w:val="ru-RU" w:eastAsia="en-US"/>
              </w:rPr>
              <w:t>Акционерный капитал</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30,435</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24,435</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proofErr w:type="spellStart"/>
            <w:r w:rsidRPr="00026244">
              <w:rPr>
                <w:rFonts w:ascii="Palatino Linotype" w:hAnsi="Palatino Linotype" w:cs="Arial"/>
                <w:sz w:val="18"/>
                <w:szCs w:val="18"/>
                <w:lang w:val="ru-RU" w:eastAsia="en-US"/>
              </w:rPr>
              <w:t>Главныйрезерв</w:t>
            </w:r>
            <w:proofErr w:type="spellEnd"/>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8,400</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8,400</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eastAsia="en-US"/>
              </w:rPr>
            </w:pPr>
            <w:r w:rsidRPr="00026244">
              <w:rPr>
                <w:rFonts w:ascii="Palatino Linotype" w:hAnsi="Palatino Linotype" w:cs="Arial"/>
                <w:sz w:val="18"/>
                <w:szCs w:val="18"/>
                <w:lang w:val="ru-RU" w:eastAsia="en-US"/>
              </w:rPr>
              <w:t>Прочие резервы</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37,113</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38,537</w:t>
            </w:r>
          </w:p>
        </w:tc>
      </w:tr>
      <w:tr w:rsidR="00FB5F40" w:rsidRPr="00026244" w:rsidTr="007B2184">
        <w:tc>
          <w:tcPr>
            <w:tcW w:w="2951" w:type="pct"/>
          </w:tcPr>
          <w:p w:rsidR="00FB5F40" w:rsidRPr="00026244" w:rsidRDefault="00FB5F40" w:rsidP="00B42721">
            <w:pPr>
              <w:pStyle w:val="TableText"/>
              <w:rPr>
                <w:rFonts w:ascii="Palatino Linotype" w:hAnsi="Palatino Linotype" w:cs="Arial"/>
                <w:sz w:val="18"/>
                <w:szCs w:val="18"/>
                <w:lang w:val="en-US" w:eastAsia="en-US"/>
              </w:rPr>
            </w:pPr>
            <w:r w:rsidRPr="00026244">
              <w:rPr>
                <w:rFonts w:ascii="Palatino Linotype" w:hAnsi="Palatino Linotype" w:cs="Arial"/>
                <w:sz w:val="18"/>
                <w:szCs w:val="18"/>
                <w:lang w:val="ru-RU" w:eastAsia="en-US"/>
              </w:rPr>
              <w:t>Нераспределенная прибыль</w:t>
            </w: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49,634</w:t>
            </w:r>
          </w:p>
        </w:tc>
        <w:tc>
          <w:tcPr>
            <w:tcW w:w="1024" w:type="pct"/>
          </w:tcPr>
          <w:p w:rsidR="00FB5F40" w:rsidRPr="00026244" w:rsidRDefault="00FB5F40" w:rsidP="006803BD">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38,127</w:t>
            </w:r>
          </w:p>
        </w:tc>
      </w:tr>
      <w:tr w:rsidR="00FB5F40" w:rsidRPr="00026244" w:rsidTr="007B2184">
        <w:tc>
          <w:tcPr>
            <w:tcW w:w="2951" w:type="pct"/>
            <w:vAlign w:val="bottom"/>
          </w:tcPr>
          <w:p w:rsidR="00FB5F40" w:rsidRPr="00026244" w:rsidRDefault="00FB5F40" w:rsidP="00B42721">
            <w:pPr>
              <w:pStyle w:val="TableText"/>
              <w:rPr>
                <w:rFonts w:ascii="Palatino Linotype" w:hAnsi="Palatino Linotype" w:cs="Arial"/>
                <w:b/>
                <w:sz w:val="18"/>
                <w:szCs w:val="18"/>
                <w:lang w:eastAsia="en-US"/>
              </w:rPr>
            </w:pPr>
            <w:r w:rsidRPr="00026244">
              <w:rPr>
                <w:rFonts w:ascii="Palatino Linotype" w:hAnsi="Palatino Linotype" w:cs="Arial"/>
                <w:b/>
                <w:bCs/>
                <w:sz w:val="18"/>
                <w:szCs w:val="18"/>
                <w:lang w:val="ru-RU" w:eastAsia="en-US"/>
              </w:rPr>
              <w:t>Итого собственного капитала</w:t>
            </w:r>
          </w:p>
        </w:tc>
        <w:tc>
          <w:tcPr>
            <w:tcW w:w="1025" w:type="pct"/>
          </w:tcPr>
          <w:p w:rsidR="00FB5F40" w:rsidRPr="00026244" w:rsidRDefault="00FB5F40" w:rsidP="006803BD">
            <w:pPr>
              <w:pStyle w:val="TableSubTot"/>
              <w:ind w:right="93"/>
              <w:jc w:val="right"/>
              <w:rPr>
                <w:rFonts w:ascii="Palatino Linotype" w:hAnsi="Palatino Linotype"/>
                <w:bCs/>
                <w:sz w:val="18"/>
                <w:szCs w:val="18"/>
                <w:lang w:val="en-US" w:eastAsia="en-US"/>
              </w:rPr>
            </w:pPr>
            <w:r w:rsidRPr="00026244">
              <w:rPr>
                <w:rFonts w:ascii="Palatino Linotype" w:hAnsi="Palatino Linotype"/>
                <w:bCs/>
                <w:sz w:val="18"/>
                <w:szCs w:val="18"/>
                <w:lang w:val="en-US" w:eastAsia="en-US"/>
              </w:rPr>
              <w:t>125,582</w:t>
            </w:r>
          </w:p>
        </w:tc>
        <w:tc>
          <w:tcPr>
            <w:tcW w:w="1024" w:type="pct"/>
          </w:tcPr>
          <w:p w:rsidR="00FB5F40" w:rsidRPr="00026244" w:rsidRDefault="00FB5F40" w:rsidP="006803BD">
            <w:pPr>
              <w:pStyle w:val="TableSubTot"/>
              <w:ind w:right="93"/>
              <w:jc w:val="right"/>
              <w:rPr>
                <w:rFonts w:ascii="Palatino Linotype" w:hAnsi="Palatino Linotype"/>
                <w:sz w:val="18"/>
                <w:szCs w:val="18"/>
                <w:lang w:eastAsia="en-US"/>
              </w:rPr>
            </w:pPr>
            <w:r w:rsidRPr="00026244">
              <w:rPr>
                <w:rFonts w:ascii="Palatino Linotype" w:hAnsi="Palatino Linotype"/>
                <w:sz w:val="18"/>
                <w:szCs w:val="18"/>
                <w:lang w:eastAsia="en-US"/>
              </w:rPr>
              <w:t>109,499</w:t>
            </w:r>
          </w:p>
        </w:tc>
      </w:tr>
      <w:tr w:rsidR="00FB5F40" w:rsidRPr="00026244" w:rsidTr="007B2184">
        <w:tc>
          <w:tcPr>
            <w:tcW w:w="2951" w:type="pct"/>
            <w:vAlign w:val="bottom"/>
          </w:tcPr>
          <w:p w:rsidR="00FB5F40" w:rsidRPr="00026244" w:rsidRDefault="00FB5F40" w:rsidP="00B42721">
            <w:pPr>
              <w:pStyle w:val="TableText"/>
              <w:rPr>
                <w:rFonts w:ascii="Palatino Linotype" w:hAnsi="Palatino Linotype" w:cs="Arial"/>
                <w:sz w:val="18"/>
                <w:szCs w:val="18"/>
                <w:lang w:eastAsia="en-US"/>
              </w:rPr>
            </w:pPr>
          </w:p>
        </w:tc>
        <w:tc>
          <w:tcPr>
            <w:tcW w:w="1025" w:type="pct"/>
          </w:tcPr>
          <w:p w:rsidR="00FB5F40" w:rsidRPr="00026244" w:rsidRDefault="00FB5F40" w:rsidP="006803BD">
            <w:pPr>
              <w:pStyle w:val="TableText"/>
              <w:ind w:right="93"/>
              <w:jc w:val="right"/>
              <w:rPr>
                <w:rFonts w:ascii="Palatino Linotype" w:hAnsi="Palatino Linotype" w:cs="Arial"/>
                <w:sz w:val="18"/>
                <w:szCs w:val="18"/>
                <w:lang w:eastAsia="en-US"/>
              </w:rPr>
            </w:pPr>
          </w:p>
        </w:tc>
        <w:tc>
          <w:tcPr>
            <w:tcW w:w="1024" w:type="pct"/>
          </w:tcPr>
          <w:p w:rsidR="00FB5F40" w:rsidRPr="00026244" w:rsidRDefault="00FB5F40" w:rsidP="006803BD">
            <w:pPr>
              <w:pStyle w:val="TableText"/>
              <w:ind w:right="93"/>
              <w:jc w:val="right"/>
              <w:rPr>
                <w:rFonts w:ascii="Palatino Linotype" w:hAnsi="Palatino Linotype" w:cs="Arial"/>
                <w:sz w:val="18"/>
                <w:szCs w:val="18"/>
                <w:lang w:eastAsia="en-US"/>
              </w:rPr>
            </w:pPr>
          </w:p>
        </w:tc>
      </w:tr>
      <w:tr w:rsidR="00FB5F40" w:rsidRPr="00026244" w:rsidTr="00061907">
        <w:tc>
          <w:tcPr>
            <w:tcW w:w="2951" w:type="pct"/>
            <w:vAlign w:val="center"/>
          </w:tcPr>
          <w:p w:rsidR="00FB5F40" w:rsidRPr="00026244" w:rsidRDefault="00FB5F40" w:rsidP="00B42721">
            <w:pPr>
              <w:pStyle w:val="TableText"/>
              <w:rPr>
                <w:rFonts w:ascii="Palatino Linotype" w:hAnsi="Palatino Linotype" w:cs="Arial"/>
                <w:b/>
                <w:caps/>
                <w:sz w:val="18"/>
                <w:szCs w:val="18"/>
                <w:lang w:val="ru-RU" w:eastAsia="en-US"/>
              </w:rPr>
            </w:pPr>
            <w:r w:rsidRPr="00026244">
              <w:rPr>
                <w:rFonts w:ascii="Palatino Linotype" w:hAnsi="Palatino Linotype" w:cs="Arial"/>
                <w:b/>
                <w:caps/>
                <w:sz w:val="18"/>
                <w:szCs w:val="18"/>
                <w:lang w:val="ru-RU" w:eastAsia="en-US"/>
              </w:rPr>
              <w:t>ИТОГО ОБЯЗАТЕЛЬСТВ И СОБСТВЕННОГО КАПИТАЛА</w:t>
            </w:r>
          </w:p>
        </w:tc>
        <w:tc>
          <w:tcPr>
            <w:tcW w:w="1025" w:type="pct"/>
          </w:tcPr>
          <w:p w:rsidR="00FB5F40" w:rsidRPr="00026244" w:rsidRDefault="00FB5F40" w:rsidP="006803BD">
            <w:pPr>
              <w:pStyle w:val="TableTotal"/>
              <w:ind w:right="93"/>
              <w:jc w:val="right"/>
              <w:rPr>
                <w:rFonts w:ascii="Palatino Linotype" w:hAnsi="Palatino Linotype"/>
                <w:bCs/>
                <w:sz w:val="18"/>
                <w:szCs w:val="18"/>
                <w:lang w:eastAsia="en-US"/>
              </w:rPr>
            </w:pPr>
            <w:r w:rsidRPr="00026244">
              <w:rPr>
                <w:rFonts w:ascii="Palatino Linotype" w:hAnsi="Palatino Linotype"/>
                <w:bCs/>
                <w:sz w:val="18"/>
                <w:szCs w:val="18"/>
                <w:lang w:eastAsia="en-US"/>
              </w:rPr>
              <w:t>1,034,153</w:t>
            </w:r>
          </w:p>
        </w:tc>
        <w:tc>
          <w:tcPr>
            <w:tcW w:w="1024" w:type="pct"/>
          </w:tcPr>
          <w:p w:rsidR="00FB5F40" w:rsidRPr="00026244" w:rsidRDefault="00FB5F40" w:rsidP="006803BD">
            <w:pPr>
              <w:pStyle w:val="TableTotal"/>
              <w:ind w:right="93"/>
              <w:jc w:val="right"/>
              <w:rPr>
                <w:rFonts w:ascii="Palatino Linotype" w:hAnsi="Palatino Linotype"/>
                <w:sz w:val="18"/>
                <w:szCs w:val="18"/>
                <w:lang w:eastAsia="en-US"/>
              </w:rPr>
            </w:pPr>
            <w:r w:rsidRPr="00026244">
              <w:rPr>
                <w:rFonts w:ascii="Palatino Linotype" w:hAnsi="Palatino Linotype"/>
                <w:sz w:val="18"/>
                <w:szCs w:val="18"/>
                <w:lang w:eastAsia="en-US"/>
              </w:rPr>
              <w:t>876,969</w:t>
            </w:r>
          </w:p>
        </w:tc>
      </w:tr>
      <w:tr w:rsidR="00FB5F40" w:rsidRPr="00026244" w:rsidTr="00061907">
        <w:tc>
          <w:tcPr>
            <w:tcW w:w="2951" w:type="pct"/>
            <w:tcBorders>
              <w:bottom w:val="single" w:sz="12" w:space="0" w:color="006600"/>
            </w:tcBorders>
            <w:vAlign w:val="bottom"/>
          </w:tcPr>
          <w:p w:rsidR="00FB5F40" w:rsidRPr="00026244" w:rsidRDefault="00FB5F40" w:rsidP="006803BD">
            <w:pPr>
              <w:pStyle w:val="TableText"/>
              <w:jc w:val="both"/>
              <w:rPr>
                <w:rFonts w:ascii="Palatino Linotype" w:hAnsi="Palatino Linotype" w:cs="Arial"/>
                <w:sz w:val="18"/>
                <w:szCs w:val="18"/>
                <w:lang w:eastAsia="en-US"/>
              </w:rPr>
            </w:pPr>
          </w:p>
        </w:tc>
        <w:tc>
          <w:tcPr>
            <w:tcW w:w="1025" w:type="pct"/>
            <w:tcBorders>
              <w:bottom w:val="single" w:sz="12" w:space="0" w:color="006600"/>
            </w:tcBorders>
            <w:vAlign w:val="center"/>
          </w:tcPr>
          <w:p w:rsidR="00FB5F40" w:rsidRPr="00026244" w:rsidRDefault="00FB5F40" w:rsidP="006803BD">
            <w:pPr>
              <w:pStyle w:val="TableText"/>
              <w:ind w:right="93"/>
              <w:jc w:val="both"/>
              <w:rPr>
                <w:rFonts w:ascii="Palatino Linotype" w:hAnsi="Palatino Linotype" w:cs="Arial"/>
                <w:b/>
                <w:sz w:val="18"/>
                <w:szCs w:val="18"/>
                <w:lang w:eastAsia="en-US"/>
              </w:rPr>
            </w:pPr>
          </w:p>
        </w:tc>
        <w:tc>
          <w:tcPr>
            <w:tcW w:w="1024" w:type="pct"/>
            <w:tcBorders>
              <w:bottom w:val="single" w:sz="12" w:space="0" w:color="006600"/>
            </w:tcBorders>
            <w:vAlign w:val="center"/>
          </w:tcPr>
          <w:p w:rsidR="00FB5F40" w:rsidRPr="00026244" w:rsidRDefault="00FB5F40" w:rsidP="006803BD">
            <w:pPr>
              <w:pStyle w:val="TableText"/>
              <w:tabs>
                <w:tab w:val="left" w:pos="1446"/>
              </w:tabs>
              <w:ind w:right="93"/>
              <w:jc w:val="both"/>
              <w:rPr>
                <w:rFonts w:ascii="Palatino Linotype" w:hAnsi="Palatino Linotype" w:cs="Arial"/>
                <w:sz w:val="18"/>
                <w:szCs w:val="18"/>
                <w:lang w:eastAsia="en-US"/>
              </w:rPr>
            </w:pPr>
          </w:p>
        </w:tc>
      </w:tr>
    </w:tbl>
    <w:p w:rsidR="00FB5F40" w:rsidRPr="00026244" w:rsidRDefault="00FB5F40" w:rsidP="001F678E">
      <w:pPr>
        <w:autoSpaceDE w:val="0"/>
        <w:autoSpaceDN w:val="0"/>
        <w:adjustRightInd w:val="0"/>
        <w:spacing w:after="0" w:line="240" w:lineRule="auto"/>
        <w:rPr>
          <w:rFonts w:ascii="Palatino Linotype" w:hAnsi="Palatino Linotype" w:cs="Eurofont-Normal"/>
          <w:color w:val="993366"/>
          <w:sz w:val="24"/>
          <w:szCs w:val="24"/>
          <w:lang w:eastAsia="ru-RU"/>
        </w:rPr>
        <w:sectPr w:rsidR="00FB5F40" w:rsidRPr="00026244" w:rsidSect="00B42721">
          <w:type w:val="continuous"/>
          <w:pgSz w:w="11906" w:h="16838"/>
          <w:pgMar w:top="1134" w:right="850" w:bottom="1134" w:left="1134" w:header="708" w:footer="708" w:gutter="0"/>
          <w:cols w:space="566"/>
          <w:rtlGutter/>
          <w:docGrid w:linePitch="360"/>
        </w:sectPr>
      </w:pPr>
    </w:p>
    <w:p w:rsidR="00FB5F40" w:rsidRPr="00026244" w:rsidRDefault="00FB5F40" w:rsidP="001F678E">
      <w:pPr>
        <w:autoSpaceDE w:val="0"/>
        <w:autoSpaceDN w:val="0"/>
        <w:adjustRightInd w:val="0"/>
        <w:spacing w:after="0" w:line="240" w:lineRule="auto"/>
        <w:rPr>
          <w:rFonts w:ascii="Palatino Linotype" w:hAnsi="Palatino Linotype" w:cs="Eurofont-Normal"/>
          <w:color w:val="993366"/>
          <w:sz w:val="24"/>
          <w:szCs w:val="24"/>
          <w:lang w:eastAsia="ru-RU"/>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C74C4B">
      <w:pPr>
        <w:spacing w:after="0"/>
        <w:jc w:val="both"/>
        <w:rPr>
          <w:rFonts w:ascii="Palatino Linotype" w:hAnsi="Palatino Linotype"/>
          <w:b/>
          <w:color w:val="003300"/>
          <w:sz w:val="32"/>
          <w:szCs w:val="32"/>
          <w:lang w:val="tg-Cyrl-TJ"/>
        </w:rPr>
        <w:sectPr w:rsidR="00FB5F40" w:rsidRPr="00026244" w:rsidSect="00EF010A">
          <w:type w:val="continuous"/>
          <w:pgSz w:w="11906" w:h="16838"/>
          <w:pgMar w:top="1134" w:right="850" w:bottom="1134" w:left="1134" w:header="708" w:footer="708" w:gutter="0"/>
          <w:cols w:num="2" w:space="566"/>
          <w:docGrid w:linePitch="360"/>
        </w:sectPr>
      </w:pPr>
    </w:p>
    <w:p w:rsidR="00FB5F40" w:rsidRPr="00026244" w:rsidRDefault="00FB5F40" w:rsidP="00C74C4B">
      <w:pPr>
        <w:spacing w:after="0"/>
        <w:jc w:val="both"/>
        <w:rPr>
          <w:rFonts w:ascii="Palatino Linotype" w:hAnsi="Palatino Linotype"/>
          <w:b/>
          <w:color w:val="003300"/>
          <w:sz w:val="32"/>
          <w:szCs w:val="32"/>
          <w:lang w:val="tg-Cyrl-TJ"/>
        </w:rPr>
      </w:pPr>
    </w:p>
    <w:p w:rsidR="00FB5F40" w:rsidRPr="00026244" w:rsidRDefault="00FB5F40" w:rsidP="00C74C4B">
      <w:pPr>
        <w:spacing w:after="0"/>
        <w:jc w:val="both"/>
        <w:rPr>
          <w:rFonts w:ascii="Palatino Linotype" w:hAnsi="Palatino Linotype"/>
          <w:b/>
          <w:color w:val="003300"/>
          <w:sz w:val="32"/>
          <w:szCs w:val="32"/>
          <w:lang w:val="tg-Cyrl-TJ"/>
        </w:rPr>
      </w:pPr>
      <w:r w:rsidRPr="00026244">
        <w:rPr>
          <w:rFonts w:ascii="Palatino Linotype" w:hAnsi="Palatino Linotype"/>
          <w:b/>
          <w:color w:val="003300"/>
          <w:sz w:val="32"/>
          <w:szCs w:val="32"/>
          <w:lang w:val="tg-Cyrl-TJ"/>
        </w:rPr>
        <w:t>FINANCIAL STATEMENT</w:t>
      </w:r>
    </w:p>
    <w:p w:rsidR="00FB5F40" w:rsidRPr="00026244" w:rsidRDefault="00FB5F40" w:rsidP="00C74C4B">
      <w:pPr>
        <w:pStyle w:val="TradingName"/>
        <w:rPr>
          <w:rFonts w:ascii="Palatino Linotype" w:hAnsi="Palatino Linotype"/>
          <w:sz w:val="22"/>
          <w:szCs w:val="22"/>
          <w:lang w:val="tg-Cyrl-TJ"/>
        </w:rPr>
      </w:pPr>
      <w:r w:rsidRPr="00026244">
        <w:rPr>
          <w:rFonts w:ascii="Palatino Linotype" w:hAnsi="Palatino Linotype" w:cs="Eurofont-Bold"/>
          <w:b w:val="0"/>
          <w:bCs/>
          <w:color w:val="993366"/>
          <w:sz w:val="22"/>
          <w:szCs w:val="22"/>
          <w:lang w:val="tg-Cyrl-TJ" w:eastAsia="ru-RU"/>
        </w:rPr>
        <w:t xml:space="preserve">Аудиторская компания: </w:t>
      </w:r>
      <w:r w:rsidRPr="00026244">
        <w:rPr>
          <w:rFonts w:ascii="Palatino Linotype" w:hAnsi="Palatino Linotype"/>
          <w:sz w:val="22"/>
          <w:szCs w:val="22"/>
          <w:lang w:val="tg-Cyrl-TJ"/>
        </w:rPr>
        <w:t>Grant Thornton LLC</w:t>
      </w:r>
    </w:p>
    <w:p w:rsidR="00FB5F40" w:rsidRPr="00026244" w:rsidRDefault="00FB5F40" w:rsidP="00C74C4B">
      <w:pPr>
        <w:pStyle w:val="PartnerAddress"/>
        <w:rPr>
          <w:rFonts w:ascii="Palatino Linotype" w:hAnsi="Palatino Linotype"/>
          <w:sz w:val="22"/>
          <w:szCs w:val="22"/>
          <w:lang w:val="tg-Cyrl-TJ"/>
        </w:rPr>
      </w:pPr>
    </w:p>
    <w:p w:rsidR="00FB5F40" w:rsidRPr="00026244" w:rsidRDefault="00FB5F40" w:rsidP="00C74C4B">
      <w:pPr>
        <w:pStyle w:val="HalfLineBreak"/>
        <w:framePr w:wrap="around"/>
        <w:rPr>
          <w:rFonts w:ascii="Palatino Linotype" w:hAnsi="Palatino Linotype"/>
          <w:sz w:val="22"/>
          <w:szCs w:val="22"/>
          <w:lang w:val="tg-Cyrl-TJ"/>
        </w:rPr>
      </w:pPr>
    </w:p>
    <w:p w:rsidR="00FB5F40" w:rsidRPr="00026244" w:rsidRDefault="00FB5F40" w:rsidP="00C74C4B">
      <w:pPr>
        <w:pStyle w:val="PartnerAddress"/>
        <w:rPr>
          <w:rFonts w:ascii="Palatino Linotype" w:hAnsi="Palatino Linotype"/>
          <w:sz w:val="22"/>
          <w:szCs w:val="22"/>
          <w:lang w:val="tg-Cyrl-TJ"/>
        </w:rPr>
      </w:pPr>
      <w:r w:rsidRPr="00026244">
        <w:rPr>
          <w:rFonts w:ascii="Palatino Linotype" w:hAnsi="Palatino Linotype" w:cs="Eurofont-Bold"/>
          <w:b/>
          <w:bCs/>
          <w:color w:val="993366"/>
          <w:sz w:val="22"/>
          <w:szCs w:val="22"/>
          <w:lang w:val="tg-Cyrl-TJ" w:eastAsia="ru-RU"/>
        </w:rPr>
        <w:t xml:space="preserve">Место нахождения: </w:t>
      </w:r>
      <w:r w:rsidRPr="00026244">
        <w:rPr>
          <w:rFonts w:ascii="Palatino Linotype" w:hAnsi="Palatino Linotype"/>
          <w:sz w:val="22"/>
          <w:szCs w:val="22"/>
          <w:lang w:val="tg-Cyrl-TJ"/>
        </w:rPr>
        <w:t>22 Shotеmur Str. 734001 Dushanbe, RT</w:t>
      </w:r>
    </w:p>
    <w:p w:rsidR="00FB5F40" w:rsidRPr="00026244" w:rsidRDefault="00FB5F40" w:rsidP="00C74C4B">
      <w:pPr>
        <w:pStyle w:val="PartnerAddress"/>
        <w:rPr>
          <w:rFonts w:ascii="Palatino Linotype" w:hAnsi="Palatino Linotype"/>
          <w:sz w:val="22"/>
          <w:szCs w:val="22"/>
          <w:lang w:val="tg-Cyrl-TJ"/>
        </w:rPr>
      </w:pPr>
      <w:r w:rsidRPr="00026244">
        <w:rPr>
          <w:rFonts w:ascii="Palatino Linotype" w:hAnsi="Palatino Linotype" w:cs="Eurofont-Bold"/>
          <w:b/>
          <w:bCs/>
          <w:color w:val="993366"/>
          <w:sz w:val="22"/>
          <w:szCs w:val="22"/>
          <w:lang w:val="tg-Cyrl-TJ" w:eastAsia="ru-RU"/>
        </w:rPr>
        <w:t>телефон:</w:t>
      </w:r>
      <w:r w:rsidRPr="00026244">
        <w:rPr>
          <w:rFonts w:ascii="Palatino Linotype" w:hAnsi="Palatino Linotype"/>
          <w:sz w:val="22"/>
          <w:szCs w:val="22"/>
          <w:lang w:val="tg-Cyrl-TJ"/>
        </w:rPr>
        <w:t xml:space="preserve"> +992 44 600 9335  </w:t>
      </w:r>
    </w:p>
    <w:p w:rsidR="00FB5F40" w:rsidRPr="00026244" w:rsidRDefault="00FB5F40" w:rsidP="00C74C4B">
      <w:pPr>
        <w:pStyle w:val="PartnerAddress"/>
        <w:suppressOverlap/>
        <w:rPr>
          <w:rFonts w:ascii="Palatino Linotype" w:hAnsi="Palatino Linotype"/>
          <w:sz w:val="22"/>
          <w:szCs w:val="22"/>
          <w:lang w:val="en-US"/>
        </w:rPr>
      </w:pPr>
      <w:r w:rsidRPr="00026244">
        <w:rPr>
          <w:rFonts w:ascii="Palatino Linotype" w:hAnsi="Palatino Linotype" w:cs="Eurofont-Bold"/>
          <w:b/>
          <w:bCs/>
          <w:color w:val="993366"/>
          <w:sz w:val="22"/>
          <w:szCs w:val="22"/>
          <w:lang w:val="ru-RU" w:eastAsia="ru-RU"/>
        </w:rPr>
        <w:t>факс</w:t>
      </w:r>
      <w:r w:rsidRPr="00026244">
        <w:rPr>
          <w:rFonts w:ascii="Palatino Linotype" w:hAnsi="Palatino Linotype" w:cs="Eurofont-Bold"/>
          <w:b/>
          <w:bCs/>
          <w:color w:val="993366"/>
          <w:sz w:val="22"/>
          <w:szCs w:val="22"/>
          <w:lang w:val="en-US" w:eastAsia="ru-RU"/>
        </w:rPr>
        <w:t>:</w:t>
      </w:r>
      <w:r w:rsidRPr="00026244">
        <w:rPr>
          <w:rFonts w:ascii="Palatino Linotype" w:hAnsi="Palatino Linotype"/>
          <w:sz w:val="22"/>
          <w:szCs w:val="22"/>
          <w:lang w:val="en-US"/>
        </w:rPr>
        <w:t xml:space="preserve"> +992 44 600 9334</w:t>
      </w:r>
    </w:p>
    <w:p w:rsidR="00FB5F40" w:rsidRPr="00026244" w:rsidRDefault="00FB5F40" w:rsidP="00C74C4B">
      <w:pPr>
        <w:spacing w:after="0"/>
        <w:jc w:val="both"/>
        <w:rPr>
          <w:rFonts w:ascii="Palatino Linotype" w:hAnsi="Palatino Linotype" w:cs="Eurofont-Normal"/>
          <w:color w:val="993366"/>
          <w:lang w:val="en-US" w:eastAsia="ru-RU"/>
        </w:rPr>
      </w:pPr>
      <w:r w:rsidRPr="00026244">
        <w:rPr>
          <w:rFonts w:ascii="Palatino Linotype" w:hAnsi="Palatino Linotype"/>
          <w:lang w:val="en-GB"/>
        </w:rPr>
        <w:t>www</w:t>
      </w:r>
      <w:r w:rsidRPr="00026244">
        <w:rPr>
          <w:rFonts w:ascii="Palatino Linotype" w:hAnsi="Palatino Linotype"/>
          <w:lang w:val="en-US"/>
        </w:rPr>
        <w:t>.</w:t>
      </w:r>
      <w:proofErr w:type="spellStart"/>
      <w:r w:rsidRPr="00026244">
        <w:rPr>
          <w:rFonts w:ascii="Palatino Linotype" w:hAnsi="Palatino Linotype"/>
          <w:lang w:val="en-GB"/>
        </w:rPr>
        <w:t>grantthornton</w:t>
      </w:r>
      <w:proofErr w:type="spellEnd"/>
      <w:r w:rsidRPr="00026244">
        <w:rPr>
          <w:rFonts w:ascii="Palatino Linotype" w:hAnsi="Palatino Linotype"/>
          <w:lang w:val="en-US"/>
        </w:rPr>
        <w:t>.</w:t>
      </w:r>
      <w:proofErr w:type="spellStart"/>
      <w:r w:rsidRPr="00026244">
        <w:rPr>
          <w:rFonts w:ascii="Palatino Linotype" w:hAnsi="Palatino Linotype"/>
          <w:lang w:val="en-GB"/>
        </w:rPr>
        <w:t>tj</w:t>
      </w:r>
      <w:proofErr w:type="spellEnd"/>
    </w:p>
    <w:p w:rsidR="00FB5F40" w:rsidRPr="00026244" w:rsidRDefault="00FB5F40" w:rsidP="00766A11">
      <w:pPr>
        <w:spacing w:after="0"/>
        <w:rPr>
          <w:rFonts w:ascii="Palatino Linotype" w:hAnsi="Palatino Linotype"/>
          <w:b/>
          <w:color w:val="003300"/>
          <w:sz w:val="32"/>
          <w:szCs w:val="32"/>
          <w:lang w:val="tg-Cyrl-TJ"/>
        </w:rPr>
        <w:sectPr w:rsidR="00FB5F40" w:rsidRPr="00026244" w:rsidSect="00C74C4B">
          <w:type w:val="continuous"/>
          <w:pgSz w:w="11906" w:h="16838"/>
          <w:pgMar w:top="1134" w:right="850" w:bottom="1134" w:left="1134" w:header="708" w:footer="708" w:gutter="0"/>
          <w:cols w:space="566"/>
          <w:docGrid w:linePitch="360"/>
        </w:sectPr>
      </w:pPr>
      <w:bookmarkStart w:id="4" w:name="_Toc323507384"/>
      <w:r w:rsidRPr="00026244">
        <w:rPr>
          <w:rFonts w:ascii="Palatino Linotype" w:hAnsi="Palatino Linotype"/>
          <w:b/>
          <w:color w:val="003300"/>
          <w:sz w:val="32"/>
          <w:szCs w:val="32"/>
          <w:lang w:val="tg-Cyrl-TJ"/>
        </w:rPr>
        <w:t>Statement of financial position</w:t>
      </w:r>
      <w:bookmarkEnd w:id="4"/>
    </w:p>
    <w:p w:rsidR="00FB5F40" w:rsidRPr="00026244" w:rsidRDefault="00FB5F40" w:rsidP="007B2184">
      <w:pPr>
        <w:pStyle w:val="TableHeading"/>
        <w:jc w:val="both"/>
        <w:rPr>
          <w:rFonts w:ascii="Palatino Linotype" w:hAnsi="Palatino Linotype"/>
          <w:b w:val="0"/>
          <w:bCs w:val="0"/>
          <w:sz w:val="18"/>
          <w:szCs w:val="18"/>
          <w:lang w:val="en-US"/>
        </w:rPr>
      </w:pPr>
    </w:p>
    <w:p w:rsidR="00FB5F40" w:rsidRPr="00026244" w:rsidRDefault="00FB5F40" w:rsidP="007B2184">
      <w:pPr>
        <w:pStyle w:val="TableHeading"/>
        <w:jc w:val="both"/>
        <w:rPr>
          <w:rFonts w:ascii="Palatino Linotype" w:hAnsi="Palatino Linotype"/>
          <w:b w:val="0"/>
          <w:bCs w:val="0"/>
          <w:sz w:val="18"/>
          <w:szCs w:val="18"/>
          <w:lang w:val="en-US"/>
        </w:rPr>
        <w:sectPr w:rsidR="00FB5F40" w:rsidRPr="00026244" w:rsidSect="00EF010A">
          <w:type w:val="continuous"/>
          <w:pgSz w:w="11906" w:h="16838"/>
          <w:pgMar w:top="1134" w:right="850" w:bottom="1134" w:left="1134" w:header="708" w:footer="708" w:gutter="0"/>
          <w:cols w:num="2" w:space="566"/>
          <w:docGrid w:linePitch="360"/>
        </w:sectPr>
      </w:pPr>
    </w:p>
    <w:tbl>
      <w:tblPr>
        <w:tblW w:w="8683" w:type="dxa"/>
        <w:tblCellMar>
          <w:top w:w="28" w:type="dxa"/>
          <w:left w:w="0" w:type="dxa"/>
          <w:bottom w:w="28" w:type="dxa"/>
          <w:right w:w="0" w:type="dxa"/>
        </w:tblCellMar>
        <w:tblLook w:val="0000" w:firstRow="0" w:lastRow="0" w:firstColumn="0" w:lastColumn="0" w:noHBand="0" w:noVBand="0"/>
      </w:tblPr>
      <w:tblGrid>
        <w:gridCol w:w="5110"/>
        <w:gridCol w:w="537"/>
        <w:gridCol w:w="1250"/>
        <w:gridCol w:w="537"/>
        <w:gridCol w:w="1249"/>
      </w:tblGrid>
      <w:tr w:rsidR="00FB5F40" w:rsidRPr="00026244" w:rsidTr="00061907">
        <w:trPr>
          <w:trHeight w:val="499"/>
          <w:tblHeader/>
        </w:trPr>
        <w:tc>
          <w:tcPr>
            <w:tcW w:w="2943" w:type="pct"/>
            <w:tcBorders>
              <w:top w:val="single" w:sz="12" w:space="0" w:color="006600"/>
              <w:bottom w:val="single" w:sz="12" w:space="0" w:color="006600"/>
            </w:tcBorders>
          </w:tcPr>
          <w:p w:rsidR="00FB5F40" w:rsidRPr="00026244" w:rsidRDefault="00FB5F40" w:rsidP="007B2184">
            <w:pPr>
              <w:pStyle w:val="TableHeading"/>
              <w:jc w:val="both"/>
              <w:rPr>
                <w:rFonts w:ascii="Palatino Linotype" w:hAnsi="Palatino Linotype"/>
                <w:bCs w:val="0"/>
                <w:sz w:val="18"/>
                <w:szCs w:val="18"/>
                <w:lang w:val="ru-RU"/>
              </w:rPr>
            </w:pPr>
            <w:proofErr w:type="spellStart"/>
            <w:r w:rsidRPr="00026244">
              <w:rPr>
                <w:rFonts w:ascii="Palatino Linotype" w:hAnsi="Palatino Linotype"/>
                <w:bCs w:val="0"/>
                <w:sz w:val="18"/>
                <w:szCs w:val="18"/>
                <w:lang w:val="ru-RU"/>
              </w:rPr>
              <w:lastRenderedPageBreak/>
              <w:t>InthousandsTajiksomoni</w:t>
            </w:r>
            <w:proofErr w:type="spellEnd"/>
          </w:p>
        </w:tc>
        <w:tc>
          <w:tcPr>
            <w:tcW w:w="1029" w:type="pct"/>
            <w:gridSpan w:val="2"/>
            <w:tcBorders>
              <w:top w:val="single" w:sz="12" w:space="0" w:color="006600"/>
              <w:bottom w:val="single" w:sz="12" w:space="0" w:color="006600"/>
            </w:tcBorders>
            <w:vAlign w:val="bottom"/>
          </w:tcPr>
          <w:p w:rsidR="00FB5F40" w:rsidRPr="00026244" w:rsidRDefault="00FB5F40" w:rsidP="007B2184">
            <w:pPr>
              <w:pStyle w:val="TableHeading"/>
              <w:jc w:val="both"/>
              <w:rPr>
                <w:rFonts w:ascii="Palatino Linotype" w:hAnsi="Palatino Linotype"/>
                <w:bCs w:val="0"/>
                <w:sz w:val="18"/>
                <w:szCs w:val="18"/>
                <w:lang w:val="ru-RU"/>
              </w:rPr>
            </w:pPr>
            <w:proofErr w:type="spellStart"/>
            <w:r w:rsidRPr="00026244">
              <w:rPr>
                <w:rFonts w:ascii="Palatino Linotype" w:hAnsi="Palatino Linotype"/>
                <w:bCs w:val="0"/>
                <w:sz w:val="18"/>
                <w:szCs w:val="18"/>
                <w:lang w:val="ru-RU"/>
              </w:rPr>
              <w:t>Asof</w:t>
            </w:r>
            <w:proofErr w:type="spellEnd"/>
          </w:p>
          <w:p w:rsidR="00FB5F40" w:rsidRPr="00026244" w:rsidRDefault="00FB5F40" w:rsidP="007B2184">
            <w:pPr>
              <w:pStyle w:val="TableHeading"/>
              <w:jc w:val="both"/>
              <w:rPr>
                <w:rFonts w:ascii="Palatino Linotype" w:hAnsi="Palatino Linotype"/>
                <w:bCs w:val="0"/>
                <w:sz w:val="18"/>
                <w:szCs w:val="18"/>
                <w:lang w:val="ru-RU"/>
              </w:rPr>
            </w:pPr>
            <w:proofErr w:type="spellStart"/>
            <w:r w:rsidRPr="00026244">
              <w:rPr>
                <w:rFonts w:ascii="Palatino Linotype" w:hAnsi="Palatino Linotype"/>
                <w:bCs w:val="0"/>
                <w:sz w:val="18"/>
                <w:szCs w:val="18"/>
                <w:lang w:val="ru-RU"/>
              </w:rPr>
              <w:t>December</w:t>
            </w:r>
            <w:proofErr w:type="spellEnd"/>
            <w:r w:rsidRPr="00026244">
              <w:rPr>
                <w:rFonts w:ascii="Palatino Linotype" w:hAnsi="Palatino Linotype"/>
                <w:bCs w:val="0"/>
                <w:sz w:val="18"/>
                <w:szCs w:val="18"/>
                <w:lang w:val="ru-RU"/>
              </w:rPr>
              <w:t xml:space="preserve"> 31, 2011</w:t>
            </w:r>
          </w:p>
        </w:tc>
        <w:tc>
          <w:tcPr>
            <w:tcW w:w="1028" w:type="pct"/>
            <w:gridSpan w:val="2"/>
            <w:tcBorders>
              <w:top w:val="single" w:sz="12" w:space="0" w:color="006600"/>
              <w:bottom w:val="single" w:sz="12" w:space="0" w:color="006600"/>
            </w:tcBorders>
            <w:vAlign w:val="bottom"/>
          </w:tcPr>
          <w:p w:rsidR="00FB5F40" w:rsidRPr="00026244" w:rsidRDefault="00FB5F40" w:rsidP="007B2184">
            <w:pPr>
              <w:pStyle w:val="TableHeading"/>
              <w:jc w:val="both"/>
              <w:rPr>
                <w:rFonts w:ascii="Palatino Linotype" w:hAnsi="Palatino Linotype"/>
                <w:bCs w:val="0"/>
                <w:sz w:val="18"/>
                <w:szCs w:val="18"/>
                <w:lang w:val="ru-RU"/>
              </w:rPr>
            </w:pPr>
            <w:proofErr w:type="spellStart"/>
            <w:r w:rsidRPr="00026244">
              <w:rPr>
                <w:rFonts w:ascii="Palatino Linotype" w:hAnsi="Palatino Linotype"/>
                <w:bCs w:val="0"/>
                <w:sz w:val="18"/>
                <w:szCs w:val="18"/>
                <w:lang w:val="ru-RU"/>
              </w:rPr>
              <w:t>Asof</w:t>
            </w:r>
            <w:proofErr w:type="spellEnd"/>
          </w:p>
          <w:p w:rsidR="00FB5F40" w:rsidRPr="00026244" w:rsidRDefault="00FB5F40" w:rsidP="007B2184">
            <w:pPr>
              <w:pStyle w:val="TableHeading"/>
              <w:jc w:val="both"/>
              <w:rPr>
                <w:rFonts w:ascii="Palatino Linotype" w:hAnsi="Palatino Linotype"/>
                <w:bCs w:val="0"/>
                <w:sz w:val="18"/>
                <w:szCs w:val="18"/>
                <w:lang w:val="ru-RU"/>
              </w:rPr>
            </w:pPr>
            <w:proofErr w:type="spellStart"/>
            <w:r w:rsidRPr="00026244">
              <w:rPr>
                <w:rFonts w:ascii="Palatino Linotype" w:hAnsi="Palatino Linotype"/>
                <w:bCs w:val="0"/>
                <w:sz w:val="18"/>
                <w:szCs w:val="18"/>
                <w:lang w:val="ru-RU"/>
              </w:rPr>
              <w:t>December</w:t>
            </w:r>
            <w:proofErr w:type="spellEnd"/>
            <w:r w:rsidRPr="00026244">
              <w:rPr>
                <w:rFonts w:ascii="Palatino Linotype" w:hAnsi="Palatino Linotype"/>
                <w:bCs w:val="0"/>
                <w:sz w:val="18"/>
                <w:szCs w:val="18"/>
                <w:lang w:val="ru-RU"/>
              </w:rPr>
              <w:t xml:space="preserve"> 31, 2010</w:t>
            </w:r>
          </w:p>
        </w:tc>
      </w:tr>
      <w:tr w:rsidR="00FB5F40" w:rsidRPr="00026244" w:rsidTr="00061907">
        <w:trPr>
          <w:trHeight w:val="257"/>
          <w:tblHeader/>
        </w:trPr>
        <w:tc>
          <w:tcPr>
            <w:tcW w:w="2943" w:type="pct"/>
            <w:tcBorders>
              <w:top w:val="single" w:sz="12" w:space="0" w:color="006600"/>
            </w:tcBorders>
          </w:tcPr>
          <w:p w:rsidR="00FB5F40" w:rsidRPr="00026244" w:rsidRDefault="00FB5F40" w:rsidP="007B2184">
            <w:pPr>
              <w:pStyle w:val="TableHeading"/>
              <w:jc w:val="both"/>
              <w:rPr>
                <w:rFonts w:ascii="Palatino Linotype" w:hAnsi="Palatino Linotype"/>
                <w:bCs w:val="0"/>
                <w:sz w:val="18"/>
                <w:szCs w:val="18"/>
                <w:lang w:val="ru-RU"/>
              </w:rPr>
            </w:pPr>
            <w:r w:rsidRPr="00026244">
              <w:rPr>
                <w:rFonts w:ascii="Palatino Linotype" w:hAnsi="Palatino Linotype"/>
                <w:bCs w:val="0"/>
                <w:sz w:val="18"/>
                <w:szCs w:val="18"/>
                <w:lang w:val="ru-RU"/>
              </w:rPr>
              <w:t>ASSETS</w:t>
            </w:r>
          </w:p>
        </w:tc>
        <w:tc>
          <w:tcPr>
            <w:tcW w:w="1029" w:type="pct"/>
            <w:gridSpan w:val="2"/>
            <w:tcBorders>
              <w:top w:val="single" w:sz="12" w:space="0" w:color="006600"/>
            </w:tcBorders>
          </w:tcPr>
          <w:p w:rsidR="00FB5F40" w:rsidRPr="00026244" w:rsidRDefault="00FB5F40" w:rsidP="007B2184">
            <w:pPr>
              <w:pStyle w:val="TableHeading"/>
              <w:jc w:val="both"/>
              <w:rPr>
                <w:rFonts w:ascii="Palatino Linotype" w:hAnsi="Palatino Linotype"/>
                <w:b w:val="0"/>
                <w:bCs w:val="0"/>
                <w:sz w:val="18"/>
                <w:szCs w:val="18"/>
                <w:lang w:val="ru-RU"/>
              </w:rPr>
            </w:pPr>
          </w:p>
        </w:tc>
        <w:tc>
          <w:tcPr>
            <w:tcW w:w="1028" w:type="pct"/>
            <w:gridSpan w:val="2"/>
            <w:tcBorders>
              <w:top w:val="single" w:sz="12" w:space="0" w:color="006600"/>
            </w:tcBorders>
          </w:tcPr>
          <w:p w:rsidR="00FB5F40" w:rsidRPr="00026244" w:rsidRDefault="00FB5F40" w:rsidP="007B2184">
            <w:pPr>
              <w:pStyle w:val="TableHeading"/>
              <w:jc w:val="both"/>
              <w:rPr>
                <w:rFonts w:ascii="Palatino Linotype" w:hAnsi="Palatino Linotype"/>
                <w:b w:val="0"/>
                <w:bCs w:val="0"/>
                <w:sz w:val="18"/>
                <w:szCs w:val="18"/>
                <w:lang w:val="ru-RU"/>
              </w:rPr>
            </w:pP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en-US"/>
              </w:rPr>
            </w:pPr>
            <w:r w:rsidRPr="00026244">
              <w:rPr>
                <w:rFonts w:ascii="Palatino Linotype" w:hAnsi="Palatino Linotype"/>
                <w:b w:val="0"/>
                <w:bCs w:val="0"/>
                <w:kern w:val="0"/>
                <w:sz w:val="18"/>
                <w:szCs w:val="18"/>
                <w:lang w:val="en-US"/>
              </w:rPr>
              <w:t>Cash and balances with NBT</w:t>
            </w:r>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326,261</w:t>
            </w:r>
          </w:p>
        </w:tc>
        <w:tc>
          <w:tcPr>
            <w:tcW w:w="1028"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315,097</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en-US"/>
              </w:rPr>
            </w:pPr>
            <w:r w:rsidRPr="00026244">
              <w:rPr>
                <w:rFonts w:ascii="Palatino Linotype" w:hAnsi="Palatino Linotype"/>
                <w:b w:val="0"/>
                <w:bCs w:val="0"/>
                <w:kern w:val="0"/>
                <w:sz w:val="18"/>
                <w:szCs w:val="18"/>
                <w:lang w:val="en-US"/>
              </w:rPr>
              <w:t>Amounts due from other financial institutions</w:t>
            </w:r>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315,807</w:t>
            </w:r>
          </w:p>
        </w:tc>
        <w:tc>
          <w:tcPr>
            <w:tcW w:w="1028"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203,889</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en-US"/>
              </w:rPr>
            </w:pPr>
            <w:r w:rsidRPr="00026244">
              <w:rPr>
                <w:rFonts w:ascii="Palatino Linotype" w:hAnsi="Palatino Linotype"/>
                <w:b w:val="0"/>
                <w:bCs w:val="0"/>
                <w:kern w:val="0"/>
                <w:sz w:val="18"/>
                <w:szCs w:val="18"/>
                <w:lang w:val="en-US"/>
              </w:rPr>
              <w:t>Loans and advances to customers</w:t>
            </w:r>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261,843</w:t>
            </w:r>
          </w:p>
        </w:tc>
        <w:tc>
          <w:tcPr>
            <w:tcW w:w="1028"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215,478</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ru-RU"/>
              </w:rPr>
            </w:pPr>
            <w:proofErr w:type="spellStart"/>
            <w:r w:rsidRPr="00026244">
              <w:rPr>
                <w:rFonts w:ascii="Palatino Linotype" w:hAnsi="Palatino Linotype"/>
                <w:b w:val="0"/>
                <w:bCs w:val="0"/>
                <w:kern w:val="0"/>
                <w:sz w:val="18"/>
                <w:szCs w:val="18"/>
                <w:lang w:val="ru-RU"/>
              </w:rPr>
              <w:t>Investmentsavailableforsale</w:t>
            </w:r>
            <w:proofErr w:type="spellEnd"/>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11,000</w:t>
            </w:r>
          </w:p>
        </w:tc>
        <w:tc>
          <w:tcPr>
            <w:tcW w:w="1028"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11,000</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ru-RU"/>
              </w:rPr>
            </w:pPr>
            <w:proofErr w:type="spellStart"/>
            <w:r w:rsidRPr="00026244">
              <w:rPr>
                <w:rFonts w:ascii="Palatino Linotype" w:hAnsi="Palatino Linotype"/>
                <w:b w:val="0"/>
                <w:bCs w:val="0"/>
                <w:kern w:val="0"/>
                <w:sz w:val="18"/>
                <w:szCs w:val="18"/>
                <w:lang w:val="ru-RU"/>
              </w:rPr>
              <w:t>Investmentsheldtomaturity</w:t>
            </w:r>
            <w:proofErr w:type="spellEnd"/>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w:t>
            </w:r>
          </w:p>
        </w:tc>
        <w:tc>
          <w:tcPr>
            <w:tcW w:w="1028"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5,750</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ru-RU"/>
              </w:rPr>
            </w:pPr>
            <w:proofErr w:type="spellStart"/>
            <w:r w:rsidRPr="00026244">
              <w:rPr>
                <w:rFonts w:ascii="Palatino Linotype" w:hAnsi="Palatino Linotype"/>
                <w:b w:val="0"/>
                <w:bCs w:val="0"/>
                <w:kern w:val="0"/>
                <w:sz w:val="18"/>
                <w:szCs w:val="18"/>
                <w:lang w:val="ru-RU"/>
              </w:rPr>
              <w:t>Property</w:t>
            </w:r>
            <w:proofErr w:type="spellEnd"/>
            <w:r w:rsidRPr="00026244">
              <w:rPr>
                <w:rFonts w:ascii="Palatino Linotype" w:hAnsi="Palatino Linotype"/>
                <w:b w:val="0"/>
                <w:bCs w:val="0"/>
                <w:kern w:val="0"/>
                <w:sz w:val="18"/>
                <w:szCs w:val="18"/>
                <w:lang w:val="ru-RU"/>
              </w:rPr>
              <w:t xml:space="preserve">, </w:t>
            </w:r>
            <w:proofErr w:type="spellStart"/>
            <w:r w:rsidRPr="00026244">
              <w:rPr>
                <w:rFonts w:ascii="Palatino Linotype" w:hAnsi="Palatino Linotype"/>
                <w:b w:val="0"/>
                <w:bCs w:val="0"/>
                <w:kern w:val="0"/>
                <w:sz w:val="18"/>
                <w:szCs w:val="18"/>
                <w:lang w:val="ru-RU"/>
              </w:rPr>
              <w:t>plantandequipment</w:t>
            </w:r>
            <w:proofErr w:type="spellEnd"/>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108,844</w:t>
            </w:r>
          </w:p>
        </w:tc>
        <w:tc>
          <w:tcPr>
            <w:tcW w:w="1028"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106,671</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ru-RU"/>
              </w:rPr>
            </w:pPr>
            <w:proofErr w:type="spellStart"/>
            <w:r w:rsidRPr="00026244">
              <w:rPr>
                <w:rFonts w:ascii="Palatino Linotype" w:hAnsi="Palatino Linotype"/>
                <w:b w:val="0"/>
                <w:bCs w:val="0"/>
                <w:kern w:val="0"/>
                <w:sz w:val="18"/>
                <w:szCs w:val="18"/>
                <w:lang w:val="ru-RU"/>
              </w:rPr>
              <w:t>Intangibleassets</w:t>
            </w:r>
            <w:proofErr w:type="spellEnd"/>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517</w:t>
            </w:r>
          </w:p>
        </w:tc>
        <w:tc>
          <w:tcPr>
            <w:tcW w:w="1028"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619</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kern w:val="0"/>
                <w:sz w:val="18"/>
                <w:szCs w:val="18"/>
                <w:lang w:val="ru-RU"/>
              </w:rPr>
            </w:pPr>
            <w:proofErr w:type="spellStart"/>
            <w:r w:rsidRPr="00026244">
              <w:rPr>
                <w:rFonts w:ascii="Palatino Linotype" w:hAnsi="Palatino Linotype"/>
                <w:b w:val="0"/>
                <w:bCs w:val="0"/>
                <w:kern w:val="0"/>
                <w:sz w:val="18"/>
                <w:szCs w:val="18"/>
                <w:lang w:val="ru-RU"/>
              </w:rPr>
              <w:t>Otherassets</w:t>
            </w:r>
            <w:proofErr w:type="spellEnd"/>
          </w:p>
        </w:tc>
        <w:tc>
          <w:tcPr>
            <w:tcW w:w="1029" w:type="pct"/>
            <w:gridSpan w:val="2"/>
          </w:tcPr>
          <w:p w:rsidR="00FB5F40" w:rsidRPr="00026244" w:rsidRDefault="00FB5F40" w:rsidP="00372012">
            <w:pPr>
              <w:pStyle w:val="TableText"/>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9,881</w:t>
            </w:r>
          </w:p>
        </w:tc>
        <w:tc>
          <w:tcPr>
            <w:tcW w:w="1028" w:type="pct"/>
            <w:gridSpan w:val="2"/>
          </w:tcPr>
          <w:p w:rsidR="00FB5F40" w:rsidRPr="00026244" w:rsidRDefault="00FB5F40" w:rsidP="00372012">
            <w:pPr>
              <w:pStyle w:val="TableText"/>
              <w:tabs>
                <w:tab w:val="left" w:pos="1446"/>
              </w:tabs>
              <w:ind w:right="9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 xml:space="preserve">    1</w:t>
            </w:r>
            <w:r w:rsidRPr="00026244">
              <w:rPr>
                <w:rFonts w:ascii="Palatino Linotype" w:hAnsi="Palatino Linotype" w:cs="Arial"/>
                <w:sz w:val="18"/>
                <w:szCs w:val="18"/>
                <w:lang w:val="ru-RU" w:eastAsia="en-US"/>
              </w:rPr>
              <w:t>8</w:t>
            </w:r>
            <w:r w:rsidRPr="00026244">
              <w:rPr>
                <w:rFonts w:ascii="Palatino Linotype" w:hAnsi="Palatino Linotype" w:cs="Arial"/>
                <w:sz w:val="18"/>
                <w:szCs w:val="18"/>
                <w:lang w:eastAsia="en-US"/>
              </w:rPr>
              <w:t>,4</w:t>
            </w:r>
            <w:r w:rsidRPr="00026244">
              <w:rPr>
                <w:rFonts w:ascii="Palatino Linotype" w:hAnsi="Palatino Linotype" w:cs="Arial"/>
                <w:sz w:val="18"/>
                <w:szCs w:val="18"/>
                <w:lang w:val="ru-RU" w:eastAsia="en-US"/>
              </w:rPr>
              <w:t>65</w:t>
            </w:r>
          </w:p>
        </w:tc>
      </w:tr>
      <w:tr w:rsidR="00FB5F40" w:rsidRPr="00026244" w:rsidTr="00061907">
        <w:trPr>
          <w:trHeight w:val="348"/>
        </w:trPr>
        <w:tc>
          <w:tcPr>
            <w:tcW w:w="2943" w:type="pct"/>
            <w:vAlign w:val="center"/>
          </w:tcPr>
          <w:p w:rsidR="00FB5F40" w:rsidRPr="00026244" w:rsidRDefault="00FB5F40" w:rsidP="007B2184">
            <w:pPr>
              <w:pStyle w:val="TableHeading"/>
              <w:jc w:val="both"/>
              <w:rPr>
                <w:rFonts w:ascii="Palatino Linotype" w:hAnsi="Palatino Linotype"/>
                <w:bCs w:val="0"/>
                <w:sz w:val="18"/>
                <w:szCs w:val="18"/>
                <w:lang w:val="ru-RU"/>
              </w:rPr>
            </w:pPr>
            <w:r w:rsidRPr="00026244">
              <w:rPr>
                <w:rFonts w:ascii="Palatino Linotype" w:hAnsi="Palatino Linotype"/>
                <w:bCs w:val="0"/>
                <w:sz w:val="18"/>
                <w:szCs w:val="18"/>
                <w:lang w:val="ru-RU"/>
              </w:rPr>
              <w:t>T</w:t>
            </w:r>
            <w:r w:rsidRPr="00026244">
              <w:rPr>
                <w:rFonts w:ascii="Palatino Linotype" w:hAnsi="Palatino Linotype"/>
                <w:bCs w:val="0"/>
                <w:sz w:val="18"/>
                <w:szCs w:val="18"/>
                <w:lang w:val="en-US"/>
              </w:rPr>
              <w:t>OTALASSETS</w:t>
            </w:r>
          </w:p>
        </w:tc>
        <w:tc>
          <w:tcPr>
            <w:tcW w:w="1029" w:type="pct"/>
            <w:gridSpan w:val="2"/>
          </w:tcPr>
          <w:p w:rsidR="00FB5F40" w:rsidRPr="00026244" w:rsidRDefault="00FB5F40" w:rsidP="007B2184">
            <w:pPr>
              <w:pStyle w:val="TableHeading"/>
              <w:pBdr>
                <w:top w:val="single" w:sz="6" w:space="1" w:color="auto"/>
                <w:bottom w:val="double" w:sz="6" w:space="1" w:color="auto"/>
              </w:pBdr>
              <w:jc w:val="right"/>
              <w:rPr>
                <w:rFonts w:ascii="Palatino Linotype" w:hAnsi="Palatino Linotype"/>
                <w:bCs w:val="0"/>
                <w:sz w:val="18"/>
                <w:szCs w:val="18"/>
                <w:lang w:val="ru-RU"/>
              </w:rPr>
            </w:pPr>
            <w:r w:rsidRPr="00026244">
              <w:rPr>
                <w:rFonts w:ascii="Palatino Linotype" w:hAnsi="Palatino Linotype"/>
                <w:bCs w:val="0"/>
                <w:sz w:val="18"/>
                <w:szCs w:val="18"/>
                <w:lang w:val="ru-RU"/>
              </w:rPr>
              <w:t>1,034,153</w:t>
            </w:r>
          </w:p>
        </w:tc>
        <w:tc>
          <w:tcPr>
            <w:tcW w:w="1028" w:type="pct"/>
            <w:gridSpan w:val="2"/>
          </w:tcPr>
          <w:p w:rsidR="00FB5F40" w:rsidRPr="00026244" w:rsidRDefault="00FB5F40" w:rsidP="007B2184">
            <w:pPr>
              <w:pStyle w:val="TableHeading"/>
              <w:pBdr>
                <w:top w:val="single" w:sz="6" w:space="1" w:color="auto"/>
                <w:bottom w:val="double" w:sz="6" w:space="1" w:color="auto"/>
              </w:pBdr>
              <w:jc w:val="right"/>
              <w:rPr>
                <w:rFonts w:ascii="Palatino Linotype" w:hAnsi="Palatino Linotype"/>
                <w:bCs w:val="0"/>
                <w:sz w:val="18"/>
                <w:szCs w:val="18"/>
                <w:lang w:val="ru-RU"/>
              </w:rPr>
            </w:pPr>
            <w:r w:rsidRPr="00026244">
              <w:rPr>
                <w:rFonts w:ascii="Palatino Linotype" w:hAnsi="Palatino Linotype"/>
                <w:bCs w:val="0"/>
                <w:sz w:val="18"/>
                <w:szCs w:val="18"/>
                <w:lang w:val="ru-RU"/>
              </w:rPr>
              <w:t>876,969</w:t>
            </w:r>
          </w:p>
        </w:tc>
      </w:tr>
      <w:tr w:rsidR="00FB5F40" w:rsidRPr="00026244" w:rsidTr="00061907">
        <w:trPr>
          <w:trHeight w:val="257"/>
        </w:trPr>
        <w:tc>
          <w:tcPr>
            <w:tcW w:w="2943" w:type="pct"/>
            <w:vAlign w:val="bottom"/>
          </w:tcPr>
          <w:p w:rsidR="00FB5F40" w:rsidRPr="00026244" w:rsidRDefault="00FB5F40" w:rsidP="007B2184">
            <w:pPr>
              <w:pStyle w:val="TableHeading"/>
              <w:jc w:val="both"/>
              <w:rPr>
                <w:rFonts w:ascii="Palatino Linotype" w:hAnsi="Palatino Linotype"/>
                <w:b w:val="0"/>
                <w:bCs w:val="0"/>
                <w:sz w:val="18"/>
                <w:szCs w:val="18"/>
                <w:lang w:val="ru-RU"/>
              </w:rPr>
            </w:pPr>
          </w:p>
        </w:tc>
        <w:tc>
          <w:tcPr>
            <w:tcW w:w="1029" w:type="pct"/>
            <w:gridSpan w:val="2"/>
          </w:tcPr>
          <w:p w:rsidR="00FB5F40" w:rsidRPr="00026244" w:rsidRDefault="00FB5F40" w:rsidP="007B2184">
            <w:pPr>
              <w:pStyle w:val="TableHeading"/>
              <w:jc w:val="right"/>
              <w:rPr>
                <w:rFonts w:ascii="Palatino Linotype" w:hAnsi="Palatino Linotype"/>
                <w:b w:val="0"/>
                <w:bCs w:val="0"/>
                <w:sz w:val="18"/>
                <w:szCs w:val="18"/>
                <w:lang w:val="ru-RU"/>
              </w:rPr>
            </w:pPr>
          </w:p>
        </w:tc>
        <w:tc>
          <w:tcPr>
            <w:tcW w:w="1028" w:type="pct"/>
            <w:gridSpan w:val="2"/>
          </w:tcPr>
          <w:p w:rsidR="00FB5F40" w:rsidRPr="00026244" w:rsidRDefault="00FB5F40" w:rsidP="007B2184">
            <w:pPr>
              <w:pStyle w:val="TableHeading"/>
              <w:jc w:val="right"/>
              <w:rPr>
                <w:rFonts w:ascii="Palatino Linotype" w:hAnsi="Palatino Linotype"/>
                <w:b w:val="0"/>
                <w:bCs w:val="0"/>
                <w:sz w:val="18"/>
                <w:szCs w:val="18"/>
                <w:lang w:val="ru-RU"/>
              </w:rPr>
            </w:pPr>
          </w:p>
        </w:tc>
      </w:tr>
      <w:tr w:rsidR="00FB5F40" w:rsidRPr="00026244" w:rsidTr="00061907">
        <w:trPr>
          <w:trHeight w:val="257"/>
        </w:trPr>
        <w:tc>
          <w:tcPr>
            <w:tcW w:w="2943" w:type="pct"/>
            <w:vAlign w:val="bottom"/>
          </w:tcPr>
          <w:p w:rsidR="00FB5F40" w:rsidRPr="00026244" w:rsidRDefault="00FB5F40" w:rsidP="007B2184">
            <w:pPr>
              <w:pStyle w:val="TableHeading"/>
              <w:jc w:val="both"/>
              <w:rPr>
                <w:rFonts w:ascii="Palatino Linotype" w:hAnsi="Palatino Linotype"/>
                <w:bCs w:val="0"/>
                <w:sz w:val="18"/>
                <w:szCs w:val="18"/>
                <w:lang w:val="ru-RU"/>
              </w:rPr>
            </w:pPr>
            <w:r w:rsidRPr="00026244">
              <w:rPr>
                <w:rFonts w:ascii="Palatino Linotype" w:hAnsi="Palatino Linotype"/>
                <w:bCs w:val="0"/>
                <w:sz w:val="18"/>
                <w:szCs w:val="18"/>
                <w:lang w:val="ru-RU"/>
              </w:rPr>
              <w:t>LIABILITIES AND EQUITY</w:t>
            </w:r>
          </w:p>
        </w:tc>
        <w:tc>
          <w:tcPr>
            <w:tcW w:w="1029" w:type="pct"/>
            <w:gridSpan w:val="2"/>
          </w:tcPr>
          <w:p w:rsidR="00FB5F40" w:rsidRPr="00026244" w:rsidRDefault="00FB5F40" w:rsidP="007B2184">
            <w:pPr>
              <w:pStyle w:val="TableHeading"/>
              <w:jc w:val="right"/>
              <w:rPr>
                <w:rFonts w:ascii="Palatino Linotype" w:hAnsi="Palatino Linotype"/>
                <w:b w:val="0"/>
                <w:bCs w:val="0"/>
                <w:sz w:val="18"/>
                <w:szCs w:val="18"/>
                <w:lang w:val="ru-RU"/>
              </w:rPr>
            </w:pPr>
          </w:p>
        </w:tc>
        <w:tc>
          <w:tcPr>
            <w:tcW w:w="1028" w:type="pct"/>
            <w:gridSpan w:val="2"/>
          </w:tcPr>
          <w:p w:rsidR="00FB5F40" w:rsidRPr="00026244" w:rsidRDefault="00FB5F40" w:rsidP="007B2184">
            <w:pPr>
              <w:pStyle w:val="TableHeading"/>
              <w:jc w:val="right"/>
              <w:rPr>
                <w:rFonts w:ascii="Palatino Linotype" w:hAnsi="Palatino Linotype"/>
                <w:b w:val="0"/>
                <w:bCs w:val="0"/>
                <w:sz w:val="18"/>
                <w:szCs w:val="18"/>
                <w:lang w:val="ru-RU"/>
              </w:rPr>
            </w:pPr>
          </w:p>
        </w:tc>
      </w:tr>
      <w:tr w:rsidR="00FB5F40" w:rsidRPr="00026244" w:rsidTr="00061907">
        <w:trPr>
          <w:trHeight w:val="257"/>
        </w:trPr>
        <w:tc>
          <w:tcPr>
            <w:tcW w:w="2943" w:type="pct"/>
            <w:vAlign w:val="bottom"/>
          </w:tcPr>
          <w:p w:rsidR="00FB5F40" w:rsidRPr="00026244" w:rsidRDefault="00FB5F40" w:rsidP="007B2184">
            <w:pPr>
              <w:pStyle w:val="TableHeading"/>
              <w:jc w:val="both"/>
              <w:rPr>
                <w:rFonts w:ascii="Palatino Linotype" w:hAnsi="Palatino Linotype"/>
                <w:bCs w:val="0"/>
                <w:sz w:val="18"/>
                <w:szCs w:val="18"/>
                <w:lang w:val="ru-RU"/>
              </w:rPr>
            </w:pPr>
            <w:proofErr w:type="spellStart"/>
            <w:r w:rsidRPr="00026244">
              <w:rPr>
                <w:rFonts w:ascii="Palatino Linotype" w:hAnsi="Palatino Linotype"/>
                <w:bCs w:val="0"/>
                <w:sz w:val="18"/>
                <w:szCs w:val="18"/>
                <w:lang w:val="ru-RU"/>
              </w:rPr>
              <w:t>Liabilities</w:t>
            </w:r>
            <w:proofErr w:type="spellEnd"/>
          </w:p>
        </w:tc>
        <w:tc>
          <w:tcPr>
            <w:tcW w:w="1029" w:type="pct"/>
            <w:gridSpan w:val="2"/>
          </w:tcPr>
          <w:p w:rsidR="00FB5F40" w:rsidRPr="00026244" w:rsidRDefault="00FB5F40" w:rsidP="007B2184">
            <w:pPr>
              <w:pStyle w:val="TableHeading"/>
              <w:jc w:val="right"/>
              <w:rPr>
                <w:rFonts w:ascii="Palatino Linotype" w:hAnsi="Palatino Linotype"/>
                <w:b w:val="0"/>
                <w:bCs w:val="0"/>
                <w:sz w:val="18"/>
                <w:szCs w:val="18"/>
                <w:lang w:val="ru-RU"/>
              </w:rPr>
            </w:pPr>
          </w:p>
        </w:tc>
        <w:tc>
          <w:tcPr>
            <w:tcW w:w="1028" w:type="pct"/>
            <w:gridSpan w:val="2"/>
          </w:tcPr>
          <w:p w:rsidR="00FB5F40" w:rsidRPr="00026244" w:rsidRDefault="00FB5F40" w:rsidP="007B2184">
            <w:pPr>
              <w:pStyle w:val="TableHeading"/>
              <w:jc w:val="right"/>
              <w:rPr>
                <w:rFonts w:ascii="Palatino Linotype" w:hAnsi="Palatino Linotype"/>
                <w:b w:val="0"/>
                <w:bCs w:val="0"/>
                <w:sz w:val="18"/>
                <w:szCs w:val="18"/>
                <w:lang w:val="ru-RU"/>
              </w:rPr>
            </w:pP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sz w:val="18"/>
                <w:szCs w:val="18"/>
                <w:lang w:val="en-US"/>
              </w:rPr>
            </w:pPr>
            <w:r w:rsidRPr="00026244">
              <w:rPr>
                <w:rFonts w:ascii="Palatino Linotype" w:hAnsi="Palatino Linotype"/>
                <w:b w:val="0"/>
                <w:bCs w:val="0"/>
                <w:sz w:val="18"/>
                <w:szCs w:val="18"/>
                <w:lang w:val="en-US"/>
              </w:rPr>
              <w:t xml:space="preserve">Amounts due to financial institutions </w:t>
            </w:r>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55,333</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48,871</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rFonts w:ascii="Palatino Linotype" w:hAnsi="Palatino Linotype"/>
                <w:b w:val="0"/>
                <w:bCs w:val="0"/>
                <w:sz w:val="18"/>
                <w:szCs w:val="18"/>
                <w:lang w:val="ru-RU"/>
              </w:rPr>
              <w:t>Amountsduetocustomers</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826,854</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693,036</w:t>
            </w:r>
          </w:p>
        </w:tc>
      </w:tr>
      <w:tr w:rsidR="00FB5F40" w:rsidRPr="00026244" w:rsidTr="00061907">
        <w:trPr>
          <w:trHeight w:val="46"/>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rFonts w:ascii="Palatino Linotype" w:hAnsi="Palatino Linotype"/>
                <w:b w:val="0"/>
                <w:bCs w:val="0"/>
                <w:sz w:val="18"/>
                <w:szCs w:val="18"/>
                <w:lang w:val="ru-RU"/>
              </w:rPr>
              <w:t>Subordinateddebt</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3,000</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3,000</w:t>
            </w:r>
          </w:p>
        </w:tc>
      </w:tr>
      <w:tr w:rsidR="00FB5F40" w:rsidRPr="00026244" w:rsidTr="00061907">
        <w:trPr>
          <w:trHeight w:val="46"/>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b w:val="0"/>
                <w:bCs w:val="0"/>
                <w:sz w:val="18"/>
                <w:szCs w:val="18"/>
                <w:lang w:val="ru-RU"/>
              </w:rPr>
              <w:t>Deferredtaxliabilities</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10,893</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11,512</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rFonts w:ascii="Palatino Linotype" w:hAnsi="Palatino Linotype"/>
                <w:b w:val="0"/>
                <w:bCs w:val="0"/>
                <w:sz w:val="18"/>
                <w:szCs w:val="18"/>
                <w:lang w:val="ru-RU"/>
              </w:rPr>
              <w:t>Otherliabilities</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12,320</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11,051</w:t>
            </w:r>
          </w:p>
        </w:tc>
      </w:tr>
      <w:tr w:rsidR="00FB5F40" w:rsidRPr="00026244" w:rsidTr="00061907">
        <w:trPr>
          <w:trHeight w:val="287"/>
        </w:trPr>
        <w:tc>
          <w:tcPr>
            <w:tcW w:w="2943" w:type="pct"/>
          </w:tcPr>
          <w:p w:rsidR="00FB5F40" w:rsidRPr="00026244" w:rsidRDefault="00FB5F40" w:rsidP="007B2184">
            <w:pPr>
              <w:pStyle w:val="TableHeading"/>
              <w:jc w:val="both"/>
              <w:rPr>
                <w:rFonts w:ascii="Palatino Linotype" w:hAnsi="Palatino Linotype"/>
                <w:bCs w:val="0"/>
                <w:sz w:val="18"/>
                <w:szCs w:val="18"/>
                <w:lang w:val="ru-RU"/>
              </w:rPr>
            </w:pPr>
            <w:proofErr w:type="spellStart"/>
            <w:r w:rsidRPr="00026244">
              <w:rPr>
                <w:rFonts w:ascii="Palatino Linotype" w:hAnsi="Palatino Linotype"/>
                <w:bCs w:val="0"/>
                <w:sz w:val="18"/>
                <w:szCs w:val="18"/>
                <w:lang w:val="ru-RU"/>
              </w:rPr>
              <w:t>Totalliabilities</w:t>
            </w:r>
            <w:proofErr w:type="spellEnd"/>
          </w:p>
        </w:tc>
        <w:tc>
          <w:tcPr>
            <w:tcW w:w="1029" w:type="pct"/>
            <w:gridSpan w:val="2"/>
          </w:tcPr>
          <w:p w:rsidR="00FB5F40" w:rsidRPr="00026244" w:rsidRDefault="00FB5F40" w:rsidP="00061907">
            <w:pPr>
              <w:pStyle w:val="TableHeading"/>
              <w:pBdr>
                <w:top w:val="single" w:sz="6" w:space="1" w:color="auto"/>
              </w:pBdr>
              <w:jc w:val="right"/>
              <w:rPr>
                <w:rFonts w:ascii="Palatino Linotype" w:hAnsi="Palatino Linotype"/>
                <w:bCs w:val="0"/>
                <w:sz w:val="18"/>
                <w:szCs w:val="18"/>
                <w:lang w:val="ru-RU"/>
              </w:rPr>
            </w:pPr>
            <w:r w:rsidRPr="00026244">
              <w:rPr>
                <w:rFonts w:ascii="Palatino Linotype" w:hAnsi="Palatino Linotype"/>
                <w:bCs w:val="0"/>
                <w:sz w:val="18"/>
                <w:szCs w:val="18"/>
                <w:lang w:val="ru-RU"/>
              </w:rPr>
              <w:t>908,571</w:t>
            </w:r>
          </w:p>
        </w:tc>
        <w:tc>
          <w:tcPr>
            <w:tcW w:w="1028" w:type="pct"/>
            <w:gridSpan w:val="2"/>
          </w:tcPr>
          <w:p w:rsidR="00FB5F40" w:rsidRPr="00026244" w:rsidRDefault="00FB5F40" w:rsidP="00061907">
            <w:pPr>
              <w:pStyle w:val="TableHeading"/>
              <w:pBdr>
                <w:top w:val="single" w:sz="6" w:space="1" w:color="auto"/>
              </w:pBdr>
              <w:jc w:val="right"/>
              <w:rPr>
                <w:rFonts w:ascii="Palatino Linotype" w:hAnsi="Palatino Linotype"/>
                <w:bCs w:val="0"/>
                <w:sz w:val="18"/>
                <w:szCs w:val="18"/>
                <w:lang w:val="ru-RU"/>
              </w:rPr>
            </w:pPr>
            <w:r w:rsidRPr="00026244">
              <w:rPr>
                <w:rFonts w:ascii="Palatino Linotype" w:hAnsi="Palatino Linotype"/>
                <w:bCs w:val="0"/>
                <w:sz w:val="18"/>
                <w:szCs w:val="18"/>
                <w:lang w:val="ru-RU"/>
              </w:rPr>
              <w:t>767,470</w:t>
            </w:r>
          </w:p>
        </w:tc>
      </w:tr>
      <w:tr w:rsidR="00FB5F40" w:rsidRPr="00026244" w:rsidTr="00061907">
        <w:trPr>
          <w:trHeight w:val="257"/>
        </w:trPr>
        <w:tc>
          <w:tcPr>
            <w:tcW w:w="2943" w:type="pct"/>
            <w:vAlign w:val="bottom"/>
          </w:tcPr>
          <w:p w:rsidR="00FB5F40" w:rsidRPr="00026244" w:rsidRDefault="00FB5F40" w:rsidP="007B2184">
            <w:pPr>
              <w:pStyle w:val="TableHeading"/>
              <w:jc w:val="both"/>
              <w:rPr>
                <w:rFonts w:ascii="Palatino Linotype" w:hAnsi="Palatino Linotype"/>
                <w:b w:val="0"/>
                <w:bCs w:val="0"/>
                <w:sz w:val="18"/>
                <w:szCs w:val="18"/>
                <w:lang w:val="ru-RU"/>
              </w:rPr>
            </w:pPr>
          </w:p>
        </w:tc>
        <w:tc>
          <w:tcPr>
            <w:tcW w:w="1029" w:type="pct"/>
            <w:gridSpan w:val="2"/>
            <w:vAlign w:val="center"/>
          </w:tcPr>
          <w:p w:rsidR="00FB5F40" w:rsidRPr="00026244" w:rsidRDefault="00FB5F40" w:rsidP="007B2184">
            <w:pPr>
              <w:pStyle w:val="TableHeading"/>
              <w:jc w:val="right"/>
              <w:rPr>
                <w:rFonts w:ascii="Palatino Linotype" w:hAnsi="Palatino Linotype"/>
                <w:b w:val="0"/>
                <w:bCs w:val="0"/>
                <w:sz w:val="18"/>
                <w:szCs w:val="18"/>
                <w:lang w:val="ru-RU"/>
              </w:rPr>
            </w:pPr>
          </w:p>
        </w:tc>
        <w:tc>
          <w:tcPr>
            <w:tcW w:w="1028" w:type="pct"/>
            <w:gridSpan w:val="2"/>
            <w:vAlign w:val="center"/>
          </w:tcPr>
          <w:p w:rsidR="00FB5F40" w:rsidRPr="00026244" w:rsidRDefault="00FB5F40" w:rsidP="007B2184">
            <w:pPr>
              <w:pStyle w:val="TableHeading"/>
              <w:jc w:val="right"/>
              <w:rPr>
                <w:rFonts w:ascii="Palatino Linotype" w:hAnsi="Palatino Linotype"/>
                <w:b w:val="0"/>
                <w:bCs w:val="0"/>
                <w:sz w:val="18"/>
                <w:szCs w:val="18"/>
                <w:lang w:val="ru-RU"/>
              </w:rPr>
            </w:pPr>
          </w:p>
        </w:tc>
      </w:tr>
      <w:tr w:rsidR="00FB5F40" w:rsidRPr="00026244" w:rsidTr="00061907">
        <w:trPr>
          <w:trHeight w:val="257"/>
        </w:trPr>
        <w:tc>
          <w:tcPr>
            <w:tcW w:w="2943" w:type="pct"/>
            <w:vAlign w:val="bottom"/>
          </w:tcPr>
          <w:p w:rsidR="00FB5F40" w:rsidRPr="00026244" w:rsidRDefault="00FB5F40" w:rsidP="007B2184">
            <w:pPr>
              <w:pStyle w:val="TableHeading"/>
              <w:jc w:val="both"/>
              <w:rPr>
                <w:rFonts w:ascii="Palatino Linotype" w:hAnsi="Palatino Linotype"/>
                <w:bCs w:val="0"/>
                <w:sz w:val="18"/>
                <w:szCs w:val="18"/>
                <w:lang w:val="ru-RU"/>
              </w:rPr>
            </w:pPr>
            <w:r w:rsidRPr="00026244">
              <w:rPr>
                <w:rFonts w:ascii="Palatino Linotype" w:hAnsi="Palatino Linotype"/>
                <w:bCs w:val="0"/>
                <w:sz w:val="18"/>
                <w:szCs w:val="18"/>
                <w:lang w:val="ru-RU"/>
              </w:rPr>
              <w:t>E</w:t>
            </w:r>
            <w:r w:rsidRPr="00026244">
              <w:rPr>
                <w:rFonts w:ascii="Palatino Linotype" w:hAnsi="Palatino Linotype"/>
                <w:bCs w:val="0"/>
                <w:sz w:val="18"/>
                <w:szCs w:val="18"/>
                <w:lang w:val="en-US"/>
              </w:rPr>
              <w:t>QUITY</w:t>
            </w:r>
          </w:p>
        </w:tc>
        <w:tc>
          <w:tcPr>
            <w:tcW w:w="1029" w:type="pct"/>
            <w:gridSpan w:val="2"/>
            <w:vAlign w:val="center"/>
          </w:tcPr>
          <w:p w:rsidR="00FB5F40" w:rsidRPr="00026244" w:rsidRDefault="00FB5F40" w:rsidP="007B2184">
            <w:pPr>
              <w:pStyle w:val="TableHeading"/>
              <w:jc w:val="right"/>
              <w:rPr>
                <w:rFonts w:ascii="Palatino Linotype" w:hAnsi="Palatino Linotype"/>
                <w:b w:val="0"/>
                <w:bCs w:val="0"/>
                <w:sz w:val="18"/>
                <w:szCs w:val="18"/>
                <w:lang w:val="ru-RU"/>
              </w:rPr>
            </w:pPr>
          </w:p>
        </w:tc>
        <w:tc>
          <w:tcPr>
            <w:tcW w:w="1028" w:type="pct"/>
            <w:gridSpan w:val="2"/>
            <w:vAlign w:val="center"/>
          </w:tcPr>
          <w:p w:rsidR="00FB5F40" w:rsidRPr="00026244" w:rsidRDefault="00FB5F40" w:rsidP="007B2184">
            <w:pPr>
              <w:pStyle w:val="TableHeading"/>
              <w:jc w:val="right"/>
              <w:rPr>
                <w:rFonts w:ascii="Palatino Linotype" w:hAnsi="Palatino Linotype"/>
                <w:b w:val="0"/>
                <w:bCs w:val="0"/>
                <w:sz w:val="18"/>
                <w:szCs w:val="18"/>
                <w:lang w:val="ru-RU"/>
              </w:rPr>
            </w:pP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rFonts w:ascii="Palatino Linotype" w:hAnsi="Palatino Linotype"/>
                <w:b w:val="0"/>
                <w:bCs w:val="0"/>
                <w:sz w:val="18"/>
                <w:szCs w:val="18"/>
                <w:lang w:val="ru-RU"/>
              </w:rPr>
              <w:t>Sharecapital</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30,435</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24,435</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rFonts w:ascii="Palatino Linotype" w:hAnsi="Palatino Linotype"/>
                <w:b w:val="0"/>
                <w:bCs w:val="0"/>
                <w:sz w:val="18"/>
                <w:szCs w:val="18"/>
                <w:lang w:val="ru-RU"/>
              </w:rPr>
              <w:t>Statutorygeneralreserve</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8,400</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8,400</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rFonts w:ascii="Palatino Linotype" w:hAnsi="Palatino Linotype"/>
                <w:b w:val="0"/>
                <w:bCs w:val="0"/>
                <w:sz w:val="18"/>
                <w:szCs w:val="18"/>
                <w:lang w:val="ru-RU"/>
              </w:rPr>
              <w:t>Otherreserves</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37,113</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38,537</w:t>
            </w:r>
          </w:p>
        </w:tc>
      </w:tr>
      <w:tr w:rsidR="00FB5F40" w:rsidRPr="00026244" w:rsidTr="00061907">
        <w:trPr>
          <w:trHeight w:val="257"/>
        </w:trPr>
        <w:tc>
          <w:tcPr>
            <w:tcW w:w="2943" w:type="pct"/>
          </w:tcPr>
          <w:p w:rsidR="00FB5F40" w:rsidRPr="00026244" w:rsidRDefault="00FB5F40" w:rsidP="007B2184">
            <w:pPr>
              <w:pStyle w:val="TableHeading"/>
              <w:jc w:val="both"/>
              <w:rPr>
                <w:rFonts w:ascii="Palatino Linotype" w:hAnsi="Palatino Linotype"/>
                <w:b w:val="0"/>
                <w:bCs w:val="0"/>
                <w:sz w:val="18"/>
                <w:szCs w:val="18"/>
                <w:lang w:val="ru-RU"/>
              </w:rPr>
            </w:pPr>
            <w:proofErr w:type="spellStart"/>
            <w:r w:rsidRPr="00026244">
              <w:rPr>
                <w:rFonts w:ascii="Palatino Linotype" w:hAnsi="Palatino Linotype"/>
                <w:b w:val="0"/>
                <w:bCs w:val="0"/>
                <w:sz w:val="18"/>
                <w:szCs w:val="18"/>
                <w:lang w:val="ru-RU"/>
              </w:rPr>
              <w:t>Retainedearnings</w:t>
            </w:r>
            <w:proofErr w:type="spellEnd"/>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49,634</w:t>
            </w: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r w:rsidRPr="00026244">
              <w:rPr>
                <w:rFonts w:ascii="Palatino Linotype" w:hAnsi="Palatino Linotype"/>
                <w:sz w:val="18"/>
                <w:szCs w:val="18"/>
                <w:lang w:eastAsia="en-US"/>
              </w:rPr>
              <w:t>38,127</w:t>
            </w:r>
          </w:p>
        </w:tc>
      </w:tr>
      <w:tr w:rsidR="00FB5F40" w:rsidRPr="00026244" w:rsidTr="00061907">
        <w:trPr>
          <w:trHeight w:val="287"/>
        </w:trPr>
        <w:tc>
          <w:tcPr>
            <w:tcW w:w="2943" w:type="pct"/>
            <w:vAlign w:val="bottom"/>
          </w:tcPr>
          <w:p w:rsidR="00FB5F40" w:rsidRPr="00026244" w:rsidRDefault="00FB5F40" w:rsidP="007B2184">
            <w:pPr>
              <w:pStyle w:val="TableHeading"/>
              <w:jc w:val="both"/>
              <w:rPr>
                <w:rFonts w:ascii="Palatino Linotype" w:hAnsi="Palatino Linotype"/>
                <w:bCs w:val="0"/>
                <w:sz w:val="18"/>
                <w:szCs w:val="18"/>
                <w:lang w:val="ru-RU"/>
              </w:rPr>
            </w:pPr>
            <w:r w:rsidRPr="00026244">
              <w:rPr>
                <w:rFonts w:ascii="Palatino Linotype" w:hAnsi="Palatino Linotype"/>
                <w:bCs w:val="0"/>
                <w:sz w:val="18"/>
                <w:szCs w:val="18"/>
                <w:lang w:val="ru-RU"/>
              </w:rPr>
              <w:t>T</w:t>
            </w:r>
            <w:r w:rsidRPr="00026244">
              <w:rPr>
                <w:rFonts w:ascii="Palatino Linotype" w:hAnsi="Palatino Linotype"/>
                <w:bCs w:val="0"/>
                <w:sz w:val="18"/>
                <w:szCs w:val="18"/>
                <w:lang w:val="en-US"/>
              </w:rPr>
              <w:t>OTAL</w:t>
            </w:r>
            <w:r w:rsidRPr="00026244">
              <w:rPr>
                <w:rFonts w:ascii="Palatino Linotype" w:hAnsi="Palatino Linotype"/>
                <w:bCs w:val="0"/>
                <w:sz w:val="18"/>
                <w:szCs w:val="18"/>
                <w:lang w:val="ru-RU"/>
              </w:rPr>
              <w:t xml:space="preserve"> E</w:t>
            </w:r>
            <w:r w:rsidRPr="00026244">
              <w:rPr>
                <w:rFonts w:ascii="Palatino Linotype" w:hAnsi="Palatino Linotype"/>
                <w:bCs w:val="0"/>
                <w:sz w:val="18"/>
                <w:szCs w:val="18"/>
                <w:lang w:val="en-US"/>
              </w:rPr>
              <w:t>QUITY</w:t>
            </w:r>
          </w:p>
        </w:tc>
        <w:tc>
          <w:tcPr>
            <w:tcW w:w="1029" w:type="pct"/>
            <w:gridSpan w:val="2"/>
          </w:tcPr>
          <w:p w:rsidR="00FB5F40" w:rsidRPr="00026244" w:rsidRDefault="00FB5F40" w:rsidP="00372012">
            <w:pPr>
              <w:pStyle w:val="TableSubTot"/>
              <w:ind w:right="93"/>
              <w:jc w:val="right"/>
              <w:rPr>
                <w:rFonts w:ascii="Palatino Linotype" w:hAnsi="Palatino Linotype"/>
                <w:b/>
                <w:sz w:val="18"/>
                <w:szCs w:val="18"/>
                <w:lang w:eastAsia="en-US"/>
              </w:rPr>
            </w:pPr>
            <w:r w:rsidRPr="00026244">
              <w:rPr>
                <w:rFonts w:ascii="Palatino Linotype" w:hAnsi="Palatino Linotype"/>
                <w:b/>
                <w:sz w:val="18"/>
                <w:szCs w:val="18"/>
                <w:lang w:eastAsia="en-US"/>
              </w:rPr>
              <w:t>125,582</w:t>
            </w:r>
          </w:p>
        </w:tc>
        <w:tc>
          <w:tcPr>
            <w:tcW w:w="1028" w:type="pct"/>
            <w:gridSpan w:val="2"/>
          </w:tcPr>
          <w:p w:rsidR="00FB5F40" w:rsidRPr="00026244" w:rsidRDefault="00FB5F40" w:rsidP="00372012">
            <w:pPr>
              <w:pStyle w:val="TableSubTot"/>
              <w:ind w:right="93"/>
              <w:jc w:val="right"/>
              <w:rPr>
                <w:rFonts w:ascii="Palatino Linotype" w:hAnsi="Palatino Linotype"/>
                <w:b/>
                <w:sz w:val="18"/>
                <w:szCs w:val="18"/>
                <w:lang w:eastAsia="en-US"/>
              </w:rPr>
            </w:pPr>
            <w:r w:rsidRPr="00026244">
              <w:rPr>
                <w:rFonts w:ascii="Palatino Linotype" w:hAnsi="Palatino Linotype"/>
                <w:b/>
                <w:sz w:val="18"/>
                <w:szCs w:val="18"/>
                <w:lang w:eastAsia="en-US"/>
              </w:rPr>
              <w:t>109,499</w:t>
            </w:r>
          </w:p>
        </w:tc>
      </w:tr>
      <w:tr w:rsidR="00FB5F40" w:rsidRPr="00026244" w:rsidTr="00061907">
        <w:trPr>
          <w:trHeight w:val="257"/>
        </w:trPr>
        <w:tc>
          <w:tcPr>
            <w:tcW w:w="2943" w:type="pct"/>
            <w:vAlign w:val="bottom"/>
          </w:tcPr>
          <w:p w:rsidR="00FB5F40" w:rsidRPr="00026244" w:rsidRDefault="00FB5F40" w:rsidP="007B2184">
            <w:pPr>
              <w:pStyle w:val="TableHeading"/>
              <w:jc w:val="both"/>
              <w:rPr>
                <w:rFonts w:ascii="Palatino Linotype" w:hAnsi="Palatino Linotype"/>
                <w:b w:val="0"/>
                <w:bCs w:val="0"/>
                <w:sz w:val="18"/>
                <w:szCs w:val="18"/>
                <w:lang w:val="ru-RU"/>
              </w:rPr>
            </w:pPr>
          </w:p>
        </w:tc>
        <w:tc>
          <w:tcPr>
            <w:tcW w:w="1029"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p>
        </w:tc>
        <w:tc>
          <w:tcPr>
            <w:tcW w:w="1028" w:type="pct"/>
            <w:gridSpan w:val="2"/>
          </w:tcPr>
          <w:p w:rsidR="00FB5F40" w:rsidRPr="00026244" w:rsidRDefault="00FB5F40" w:rsidP="00372012">
            <w:pPr>
              <w:pStyle w:val="TableSubTot"/>
              <w:pBdr>
                <w:top w:val="none" w:sz="0" w:space="0" w:color="auto"/>
              </w:pBdr>
              <w:ind w:right="93"/>
              <w:jc w:val="right"/>
              <w:rPr>
                <w:rFonts w:ascii="Palatino Linotype" w:hAnsi="Palatino Linotype"/>
                <w:sz w:val="18"/>
                <w:szCs w:val="18"/>
                <w:lang w:eastAsia="en-US"/>
              </w:rPr>
            </w:pPr>
          </w:p>
        </w:tc>
      </w:tr>
      <w:tr w:rsidR="00FB5F40" w:rsidRPr="00026244" w:rsidTr="00061907">
        <w:trPr>
          <w:trHeight w:val="348"/>
        </w:trPr>
        <w:tc>
          <w:tcPr>
            <w:tcW w:w="2943" w:type="pct"/>
            <w:vAlign w:val="center"/>
          </w:tcPr>
          <w:p w:rsidR="00FB5F40" w:rsidRPr="00026244" w:rsidRDefault="00FB5F40" w:rsidP="007B2184">
            <w:pPr>
              <w:pStyle w:val="TableHeading"/>
              <w:jc w:val="both"/>
              <w:rPr>
                <w:rFonts w:ascii="Palatino Linotype" w:hAnsi="Palatino Linotype"/>
                <w:bCs w:val="0"/>
                <w:sz w:val="18"/>
                <w:szCs w:val="18"/>
                <w:lang w:val="en-US"/>
              </w:rPr>
            </w:pPr>
            <w:r w:rsidRPr="00026244">
              <w:rPr>
                <w:rFonts w:ascii="Palatino Linotype" w:hAnsi="Palatino Linotype"/>
                <w:bCs w:val="0"/>
                <w:sz w:val="18"/>
                <w:szCs w:val="18"/>
                <w:lang w:val="en-US"/>
              </w:rPr>
              <w:t xml:space="preserve">TOTAL LIABILITIES </w:t>
            </w:r>
            <w:r w:rsidRPr="00026244">
              <w:rPr>
                <w:rFonts w:ascii="Palatino Linotype" w:hAnsi="Palatino Linotype"/>
                <w:bCs w:val="0"/>
                <w:sz w:val="18"/>
                <w:szCs w:val="18"/>
                <w:lang w:val="ru-RU"/>
              </w:rPr>
              <w:t>AND EQUITY</w:t>
            </w:r>
          </w:p>
        </w:tc>
        <w:tc>
          <w:tcPr>
            <w:tcW w:w="1029" w:type="pct"/>
            <w:gridSpan w:val="2"/>
          </w:tcPr>
          <w:p w:rsidR="00FB5F40" w:rsidRPr="00026244" w:rsidRDefault="00FB5F40" w:rsidP="00372012">
            <w:pPr>
              <w:pStyle w:val="TableSubTot"/>
              <w:pBdr>
                <w:bottom w:val="double" w:sz="6" w:space="1" w:color="auto"/>
              </w:pBdr>
              <w:ind w:right="93"/>
              <w:jc w:val="right"/>
              <w:rPr>
                <w:rFonts w:ascii="Palatino Linotype" w:hAnsi="Palatino Linotype"/>
                <w:b/>
                <w:sz w:val="18"/>
                <w:szCs w:val="18"/>
                <w:lang w:eastAsia="en-US"/>
              </w:rPr>
            </w:pPr>
            <w:r w:rsidRPr="00026244">
              <w:rPr>
                <w:rFonts w:ascii="Palatino Linotype" w:hAnsi="Palatino Linotype"/>
                <w:b/>
                <w:sz w:val="18"/>
                <w:szCs w:val="18"/>
                <w:lang w:eastAsia="en-US"/>
              </w:rPr>
              <w:t>1,034,153</w:t>
            </w:r>
          </w:p>
        </w:tc>
        <w:tc>
          <w:tcPr>
            <w:tcW w:w="1028" w:type="pct"/>
            <w:gridSpan w:val="2"/>
          </w:tcPr>
          <w:p w:rsidR="00FB5F40" w:rsidRPr="00026244" w:rsidRDefault="00FB5F40" w:rsidP="00372012">
            <w:pPr>
              <w:pStyle w:val="TableSubTot"/>
              <w:pBdr>
                <w:bottom w:val="double" w:sz="6" w:space="1" w:color="auto"/>
              </w:pBdr>
              <w:ind w:right="93"/>
              <w:jc w:val="right"/>
              <w:rPr>
                <w:rFonts w:ascii="Palatino Linotype" w:hAnsi="Palatino Linotype"/>
                <w:b/>
                <w:sz w:val="18"/>
                <w:szCs w:val="18"/>
                <w:lang w:eastAsia="en-US"/>
              </w:rPr>
            </w:pPr>
            <w:r w:rsidRPr="00026244">
              <w:rPr>
                <w:rFonts w:ascii="Palatino Linotype" w:hAnsi="Palatino Linotype"/>
                <w:b/>
                <w:sz w:val="18"/>
                <w:szCs w:val="18"/>
                <w:lang w:eastAsia="en-US"/>
              </w:rPr>
              <w:t>876,969</w:t>
            </w:r>
          </w:p>
        </w:tc>
      </w:tr>
      <w:tr w:rsidR="00FB5F40" w:rsidRPr="00026244" w:rsidTr="00061907">
        <w:trPr>
          <w:trHeight w:val="257"/>
        </w:trPr>
        <w:tc>
          <w:tcPr>
            <w:tcW w:w="2943" w:type="pct"/>
            <w:tcBorders>
              <w:bottom w:val="single" w:sz="12" w:space="0" w:color="006600"/>
            </w:tcBorders>
            <w:vAlign w:val="bottom"/>
          </w:tcPr>
          <w:p w:rsidR="00FB5F40" w:rsidRPr="00026244" w:rsidRDefault="00FB5F40" w:rsidP="007B2184">
            <w:pPr>
              <w:pStyle w:val="TableHeading"/>
              <w:jc w:val="both"/>
              <w:rPr>
                <w:rFonts w:ascii="Palatino Linotype" w:hAnsi="Palatino Linotype"/>
                <w:b w:val="0"/>
                <w:bCs w:val="0"/>
                <w:sz w:val="18"/>
                <w:szCs w:val="18"/>
                <w:lang w:val="ru-RU"/>
              </w:rPr>
            </w:pPr>
          </w:p>
        </w:tc>
        <w:tc>
          <w:tcPr>
            <w:tcW w:w="1029" w:type="pct"/>
            <w:gridSpan w:val="2"/>
            <w:tcBorders>
              <w:bottom w:val="single" w:sz="12" w:space="0" w:color="006600"/>
            </w:tcBorders>
            <w:vAlign w:val="bottom"/>
          </w:tcPr>
          <w:p w:rsidR="00FB5F40" w:rsidRPr="00026244" w:rsidRDefault="00FB5F40" w:rsidP="007B2184">
            <w:pPr>
              <w:pStyle w:val="TableHeading"/>
              <w:jc w:val="both"/>
              <w:rPr>
                <w:rFonts w:ascii="Palatino Linotype" w:hAnsi="Palatino Linotype"/>
                <w:b w:val="0"/>
                <w:bCs w:val="0"/>
                <w:sz w:val="18"/>
                <w:szCs w:val="18"/>
                <w:lang w:val="ru-RU"/>
              </w:rPr>
            </w:pPr>
          </w:p>
        </w:tc>
        <w:tc>
          <w:tcPr>
            <w:tcW w:w="1028" w:type="pct"/>
            <w:gridSpan w:val="2"/>
            <w:tcBorders>
              <w:bottom w:val="single" w:sz="12" w:space="0" w:color="006600"/>
            </w:tcBorders>
            <w:vAlign w:val="bottom"/>
          </w:tcPr>
          <w:p w:rsidR="00FB5F40" w:rsidRPr="00026244" w:rsidRDefault="00FB5F40" w:rsidP="007B2184">
            <w:pPr>
              <w:pStyle w:val="TableHeading"/>
              <w:jc w:val="both"/>
              <w:rPr>
                <w:rFonts w:ascii="Palatino Linotype" w:hAnsi="Palatino Linotype"/>
                <w:b w:val="0"/>
                <w:bCs w:val="0"/>
                <w:sz w:val="18"/>
                <w:szCs w:val="18"/>
                <w:lang w:val="ru-RU"/>
              </w:rPr>
            </w:pPr>
          </w:p>
        </w:tc>
      </w:tr>
      <w:tr w:rsidR="00FB5F40" w:rsidRPr="00026244" w:rsidTr="00061907">
        <w:trPr>
          <w:gridAfter w:val="1"/>
          <w:wAfter w:w="719" w:type="pct"/>
          <w:trHeight w:val="44"/>
        </w:trPr>
        <w:tc>
          <w:tcPr>
            <w:tcW w:w="2943" w:type="pct"/>
            <w:vAlign w:val="bottom"/>
          </w:tcPr>
          <w:p w:rsidR="00FB5F40" w:rsidRPr="00026244" w:rsidRDefault="00FB5F40" w:rsidP="00061907">
            <w:pPr>
              <w:pStyle w:val="TableText"/>
              <w:rPr>
                <w:rFonts w:ascii="Palatino Linotype" w:hAnsi="Palatino Linotype" w:cs="Arial"/>
                <w:sz w:val="16"/>
                <w:szCs w:val="20"/>
                <w:lang w:eastAsia="en-US"/>
              </w:rPr>
            </w:pPr>
          </w:p>
        </w:tc>
        <w:tc>
          <w:tcPr>
            <w:tcW w:w="309" w:type="pct"/>
            <w:vAlign w:val="bottom"/>
          </w:tcPr>
          <w:p w:rsidR="00FB5F40" w:rsidRPr="00026244" w:rsidRDefault="00FB5F40" w:rsidP="00061907">
            <w:pPr>
              <w:pStyle w:val="TableText"/>
              <w:rPr>
                <w:rFonts w:ascii="Palatino Linotype" w:hAnsi="Palatino Linotype" w:cs="Arial"/>
                <w:sz w:val="16"/>
                <w:szCs w:val="20"/>
                <w:lang w:eastAsia="en-US"/>
              </w:rPr>
            </w:pPr>
          </w:p>
        </w:tc>
        <w:tc>
          <w:tcPr>
            <w:tcW w:w="1029" w:type="pct"/>
            <w:gridSpan w:val="2"/>
          </w:tcPr>
          <w:p w:rsidR="00FB5F40" w:rsidRPr="00026244" w:rsidRDefault="00FB5F40" w:rsidP="00061907">
            <w:pPr>
              <w:pStyle w:val="TableText"/>
              <w:rPr>
                <w:rFonts w:ascii="Palatino Linotype" w:hAnsi="Palatino Linotype" w:cs="Arial"/>
                <w:sz w:val="16"/>
                <w:szCs w:val="20"/>
                <w:lang w:eastAsia="en-US"/>
              </w:rPr>
            </w:pPr>
          </w:p>
        </w:tc>
      </w:tr>
    </w:tbl>
    <w:p w:rsidR="00FB5F40" w:rsidRPr="00026244" w:rsidRDefault="00FB5F40" w:rsidP="001F678E">
      <w:pPr>
        <w:spacing w:after="0"/>
        <w:ind w:firstLine="284"/>
        <w:jc w:val="both"/>
        <w:rPr>
          <w:rFonts w:ascii="Palatino Linotype" w:hAnsi="Palatino Linotype"/>
        </w:rPr>
        <w:sectPr w:rsidR="00FB5F40" w:rsidRPr="00026244" w:rsidSect="007B2184">
          <w:type w:val="continuous"/>
          <w:pgSz w:w="11906" w:h="16838"/>
          <w:pgMar w:top="1134" w:right="850" w:bottom="1134" w:left="1134" w:header="708" w:footer="708" w:gutter="0"/>
          <w:cols w:space="566"/>
          <w:rtlGutter/>
          <w:docGrid w:linePitch="360"/>
        </w:sectPr>
      </w:pPr>
    </w:p>
    <w:p w:rsidR="00FB5F40" w:rsidRPr="00026244" w:rsidRDefault="00FB5F40" w:rsidP="00372012">
      <w:pPr>
        <w:pStyle w:val="SectionTitle"/>
        <w:spacing w:after="480"/>
        <w:jc w:val="both"/>
        <w:rPr>
          <w:lang w:val="ru-RU"/>
        </w:rPr>
        <w:sectPr w:rsidR="00FB5F40" w:rsidRPr="00026244" w:rsidSect="00EF010A">
          <w:type w:val="continuous"/>
          <w:pgSz w:w="11906" w:h="16838"/>
          <w:pgMar w:top="1134" w:right="850" w:bottom="1134" w:left="1134" w:header="708" w:footer="708" w:gutter="0"/>
          <w:cols w:num="2" w:space="566"/>
          <w:docGrid w:linePitch="360"/>
        </w:sectPr>
      </w:pPr>
      <w:bookmarkStart w:id="5" w:name="_Toc324614663"/>
    </w:p>
    <w:p w:rsidR="00FB5F40" w:rsidRPr="00026244" w:rsidRDefault="00FB5F40" w:rsidP="00766A11">
      <w:pPr>
        <w:spacing w:after="0"/>
        <w:rPr>
          <w:rFonts w:ascii="Palatino Linotype" w:hAnsi="Palatino Linotype"/>
          <w:b/>
          <w:color w:val="003300"/>
          <w:sz w:val="32"/>
          <w:szCs w:val="32"/>
          <w:lang w:val="tg-Cyrl-TJ"/>
        </w:rPr>
      </w:pPr>
      <w:r w:rsidRPr="00026244">
        <w:rPr>
          <w:rFonts w:ascii="Palatino Linotype" w:hAnsi="Palatino Linotype"/>
          <w:b/>
          <w:color w:val="003300"/>
          <w:sz w:val="32"/>
          <w:szCs w:val="32"/>
          <w:lang w:val="tg-Cyrl-TJ"/>
        </w:rPr>
        <w:lastRenderedPageBreak/>
        <w:t>Отчет о совокупном доходе</w:t>
      </w:r>
      <w:bookmarkEnd w:id="5"/>
    </w:p>
    <w:tbl>
      <w:tblPr>
        <w:tblW w:w="9307" w:type="dxa"/>
        <w:tblLayout w:type="fixed"/>
        <w:tblCellMar>
          <w:top w:w="28" w:type="dxa"/>
          <w:left w:w="0" w:type="dxa"/>
          <w:bottom w:w="28" w:type="dxa"/>
          <w:right w:w="0" w:type="dxa"/>
        </w:tblCellMar>
        <w:tblLook w:val="0000" w:firstRow="0" w:lastRow="0" w:firstColumn="0" w:lastColumn="0" w:noHBand="0" w:noVBand="0"/>
      </w:tblPr>
      <w:tblGrid>
        <w:gridCol w:w="4445"/>
        <w:gridCol w:w="2219"/>
        <w:gridCol w:w="2643"/>
      </w:tblGrid>
      <w:tr w:rsidR="00FB5F40" w:rsidRPr="00026244" w:rsidTr="00061907">
        <w:trPr>
          <w:tblHeader/>
        </w:trPr>
        <w:tc>
          <w:tcPr>
            <w:tcW w:w="2388" w:type="pct"/>
            <w:tcBorders>
              <w:top w:val="single" w:sz="12" w:space="0" w:color="006600"/>
              <w:bottom w:val="single" w:sz="12" w:space="0" w:color="006600"/>
            </w:tcBorders>
          </w:tcPr>
          <w:p w:rsidR="00FB5F40" w:rsidRPr="00026244" w:rsidRDefault="00FB5F40" w:rsidP="00061907">
            <w:pPr>
              <w:pStyle w:val="TableHeading"/>
              <w:jc w:val="both"/>
              <w:rPr>
                <w:rFonts w:ascii="Palatino Linotype" w:hAnsi="Palatino Linotype"/>
                <w:b w:val="0"/>
                <w:bCs w:val="0"/>
                <w:sz w:val="24"/>
                <w:szCs w:val="24"/>
                <w:lang w:val="ru-RU"/>
              </w:rPr>
            </w:pPr>
            <w:r w:rsidRPr="00026244">
              <w:rPr>
                <w:rFonts w:ascii="Palatino Linotype" w:hAnsi="Palatino Linotype"/>
                <w:b w:val="0"/>
                <w:bCs w:val="0"/>
                <w:sz w:val="24"/>
                <w:szCs w:val="24"/>
                <w:lang w:val="ru-RU"/>
              </w:rPr>
              <w:t xml:space="preserve">В тысячах таджикских </w:t>
            </w:r>
            <w:proofErr w:type="spellStart"/>
            <w:r w:rsidRPr="00026244">
              <w:rPr>
                <w:rFonts w:ascii="Palatino Linotype" w:hAnsi="Palatino Linotype"/>
                <w:b w:val="0"/>
                <w:bCs w:val="0"/>
                <w:sz w:val="24"/>
                <w:szCs w:val="24"/>
                <w:lang w:val="ru-RU"/>
              </w:rPr>
              <w:t>сомони</w:t>
            </w:r>
            <w:proofErr w:type="spellEnd"/>
          </w:p>
        </w:tc>
        <w:tc>
          <w:tcPr>
            <w:tcW w:w="1192" w:type="pct"/>
            <w:tcBorders>
              <w:top w:val="single" w:sz="12" w:space="0" w:color="006600"/>
              <w:bottom w:val="single" w:sz="12" w:space="0" w:color="006600"/>
            </w:tcBorders>
            <w:noWrap/>
            <w:vAlign w:val="bottom"/>
          </w:tcPr>
          <w:p w:rsidR="00FB5F40" w:rsidRPr="00026244" w:rsidRDefault="00FB5F40" w:rsidP="00061907">
            <w:pPr>
              <w:pStyle w:val="TableHeading"/>
              <w:ind w:right="93"/>
              <w:jc w:val="right"/>
              <w:rPr>
                <w:rFonts w:ascii="Palatino Linotype" w:hAnsi="Palatino Linotype"/>
                <w:b w:val="0"/>
                <w:sz w:val="24"/>
                <w:szCs w:val="24"/>
                <w:lang w:val="ru-RU"/>
              </w:rPr>
            </w:pPr>
            <w:r w:rsidRPr="00026244">
              <w:rPr>
                <w:rFonts w:ascii="Palatino Linotype" w:hAnsi="Palatino Linotype"/>
                <w:b w:val="0"/>
                <w:sz w:val="24"/>
                <w:szCs w:val="24"/>
                <w:lang w:val="ru-RU"/>
              </w:rPr>
              <w:t>За год, закончившийся 31 декабря 2011 года</w:t>
            </w:r>
          </w:p>
          <w:p w:rsidR="00FB5F40" w:rsidRPr="00026244" w:rsidRDefault="00FB5F40" w:rsidP="00061907">
            <w:pPr>
              <w:pStyle w:val="TableHeading"/>
              <w:ind w:right="93"/>
              <w:jc w:val="right"/>
              <w:rPr>
                <w:rFonts w:ascii="Palatino Linotype" w:hAnsi="Palatino Linotype"/>
                <w:b w:val="0"/>
                <w:sz w:val="24"/>
                <w:szCs w:val="24"/>
                <w:lang w:val="ru-RU"/>
              </w:rPr>
            </w:pPr>
            <w:r w:rsidRPr="00026244">
              <w:rPr>
                <w:rFonts w:ascii="Palatino Linotype" w:hAnsi="Palatino Linotype"/>
                <w:b w:val="0"/>
                <w:sz w:val="24"/>
                <w:szCs w:val="24"/>
                <w:lang w:val="ru-RU"/>
              </w:rPr>
              <w:t>(</w:t>
            </w:r>
            <w:proofErr w:type="spellStart"/>
            <w:r w:rsidRPr="00026244">
              <w:rPr>
                <w:rFonts w:ascii="Palatino Linotype" w:hAnsi="Palatino Linotype"/>
                <w:b w:val="0"/>
                <w:sz w:val="24"/>
                <w:szCs w:val="24"/>
                <w:lang w:val="ru-RU"/>
              </w:rPr>
              <w:t>аудировано</w:t>
            </w:r>
            <w:proofErr w:type="spellEnd"/>
            <w:r w:rsidRPr="00026244">
              <w:rPr>
                <w:rFonts w:ascii="Palatino Linotype" w:hAnsi="Palatino Linotype"/>
                <w:b w:val="0"/>
                <w:sz w:val="24"/>
                <w:szCs w:val="24"/>
                <w:lang w:val="ru-RU"/>
              </w:rPr>
              <w:t>)</w:t>
            </w:r>
          </w:p>
        </w:tc>
        <w:tc>
          <w:tcPr>
            <w:tcW w:w="1420" w:type="pct"/>
            <w:tcBorders>
              <w:top w:val="single" w:sz="12" w:space="0" w:color="006600"/>
              <w:bottom w:val="single" w:sz="12" w:space="0" w:color="006600"/>
            </w:tcBorders>
            <w:noWrap/>
            <w:vAlign w:val="bottom"/>
          </w:tcPr>
          <w:p w:rsidR="00FB5F40" w:rsidRPr="00026244" w:rsidRDefault="00FB5F40" w:rsidP="00061907">
            <w:pPr>
              <w:pStyle w:val="TableHeading"/>
              <w:tabs>
                <w:tab w:val="left" w:pos="1636"/>
              </w:tabs>
              <w:ind w:right="93"/>
              <w:jc w:val="right"/>
              <w:rPr>
                <w:rFonts w:ascii="Palatino Linotype" w:hAnsi="Palatino Linotype"/>
                <w:b w:val="0"/>
                <w:sz w:val="24"/>
                <w:szCs w:val="24"/>
                <w:lang w:val="ru-RU"/>
              </w:rPr>
            </w:pPr>
            <w:r w:rsidRPr="00026244">
              <w:rPr>
                <w:rFonts w:ascii="Palatino Linotype" w:hAnsi="Palatino Linotype"/>
                <w:b w:val="0"/>
                <w:bCs w:val="0"/>
                <w:sz w:val="24"/>
                <w:szCs w:val="24"/>
                <w:lang w:val="ru-RU"/>
              </w:rPr>
              <w:t>За год, закончившийся 31 декабря 2010 года</w:t>
            </w:r>
            <w:r w:rsidRPr="00026244">
              <w:rPr>
                <w:rFonts w:ascii="Palatino Linotype" w:hAnsi="Palatino Linotype"/>
                <w:b w:val="0"/>
                <w:sz w:val="24"/>
                <w:szCs w:val="24"/>
                <w:lang w:val="ru-RU"/>
              </w:rPr>
              <w:t xml:space="preserve"> (</w:t>
            </w:r>
            <w:proofErr w:type="spellStart"/>
            <w:r w:rsidRPr="00026244">
              <w:rPr>
                <w:rFonts w:ascii="Palatino Linotype" w:hAnsi="Palatino Linotype"/>
                <w:b w:val="0"/>
                <w:sz w:val="24"/>
                <w:szCs w:val="24"/>
                <w:lang w:val="ru-RU"/>
              </w:rPr>
              <w:t>аудировано</w:t>
            </w:r>
            <w:proofErr w:type="spellEnd"/>
            <w:r w:rsidRPr="00026244">
              <w:rPr>
                <w:rFonts w:ascii="Palatino Linotype" w:hAnsi="Palatino Linotype"/>
                <w:b w:val="0"/>
                <w:sz w:val="24"/>
                <w:szCs w:val="24"/>
                <w:lang w:val="ru-RU"/>
              </w:rPr>
              <w:t>)</w:t>
            </w:r>
          </w:p>
        </w:tc>
      </w:tr>
      <w:tr w:rsidR="00FB5F40" w:rsidRPr="00026244" w:rsidTr="00061907">
        <w:trPr>
          <w:tblHeader/>
        </w:trPr>
        <w:tc>
          <w:tcPr>
            <w:tcW w:w="2388" w:type="pct"/>
            <w:tcBorders>
              <w:top w:val="single" w:sz="12" w:space="0" w:color="006600"/>
            </w:tcBorders>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Процентные и схожие доходы</w:t>
            </w:r>
          </w:p>
        </w:tc>
        <w:tc>
          <w:tcPr>
            <w:tcW w:w="1192" w:type="pct"/>
            <w:tcBorders>
              <w:top w:val="single" w:sz="12" w:space="0" w:color="006600"/>
            </w:tcBorders>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43,544</w:t>
            </w:r>
          </w:p>
        </w:tc>
        <w:tc>
          <w:tcPr>
            <w:tcW w:w="1420" w:type="pct"/>
            <w:tcBorders>
              <w:top w:val="single" w:sz="12" w:space="0" w:color="006600"/>
            </w:tcBorders>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35,413</w:t>
            </w:r>
          </w:p>
        </w:tc>
      </w:tr>
      <w:tr w:rsidR="00FB5F40" w:rsidRPr="00026244" w:rsidTr="00372012">
        <w:tc>
          <w:tcPr>
            <w:tcW w:w="2388" w:type="pct"/>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Процентные и схожие расходы</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(45,862)</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(26,245)</w:t>
            </w:r>
          </w:p>
        </w:tc>
      </w:tr>
      <w:tr w:rsidR="00FB5F40" w:rsidRPr="00026244" w:rsidTr="00372012">
        <w:tc>
          <w:tcPr>
            <w:tcW w:w="2388" w:type="pct"/>
            <w:vAlign w:val="center"/>
          </w:tcPr>
          <w:p w:rsidR="00FB5F40" w:rsidRPr="00026244" w:rsidRDefault="00FB5F40" w:rsidP="00061907">
            <w:pPr>
              <w:pStyle w:val="TableText"/>
              <w:jc w:val="both"/>
              <w:rPr>
                <w:rFonts w:ascii="Palatino Linotype" w:hAnsi="Palatino Linotype" w:cs="Arial"/>
                <w:b/>
                <w:sz w:val="24"/>
                <w:szCs w:val="24"/>
                <w:lang w:eastAsia="en-US"/>
              </w:rPr>
            </w:pPr>
            <w:r w:rsidRPr="00026244">
              <w:rPr>
                <w:rFonts w:ascii="Palatino Linotype" w:hAnsi="Palatino Linotype" w:cs="Arial"/>
                <w:b/>
                <w:sz w:val="24"/>
                <w:szCs w:val="24"/>
                <w:lang w:val="ru-RU" w:eastAsia="en-US"/>
              </w:rPr>
              <w:t>Чистые процентные доходы</w:t>
            </w:r>
          </w:p>
        </w:tc>
        <w:tc>
          <w:tcPr>
            <w:tcW w:w="1192"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(2,318)</w:t>
            </w:r>
          </w:p>
        </w:tc>
        <w:tc>
          <w:tcPr>
            <w:tcW w:w="1420"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9,168</w:t>
            </w:r>
          </w:p>
        </w:tc>
      </w:tr>
      <w:tr w:rsidR="00FB5F40" w:rsidRPr="00026244" w:rsidTr="00372012">
        <w:tc>
          <w:tcPr>
            <w:tcW w:w="2388" w:type="pct"/>
          </w:tcPr>
          <w:p w:rsidR="00FB5F40" w:rsidRPr="00026244" w:rsidRDefault="00FB5F40" w:rsidP="00061907">
            <w:pPr>
              <w:pStyle w:val="TableText"/>
              <w:jc w:val="both"/>
              <w:rPr>
                <w:rFonts w:ascii="Palatino Linotype" w:hAnsi="Palatino Linotype" w:cs="Arial"/>
                <w:sz w:val="24"/>
                <w:szCs w:val="24"/>
                <w:lang w:eastAsia="en-US"/>
              </w:rPr>
            </w:pP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p>
        </w:tc>
        <w:tc>
          <w:tcPr>
            <w:tcW w:w="1420" w:type="pct"/>
          </w:tcPr>
          <w:p w:rsidR="00FB5F40" w:rsidRPr="00026244" w:rsidRDefault="00FB5F40" w:rsidP="00061907">
            <w:pPr>
              <w:pStyle w:val="TableText"/>
              <w:tabs>
                <w:tab w:val="left" w:pos="1636"/>
              </w:tabs>
              <w:ind w:right="93"/>
              <w:jc w:val="right"/>
              <w:rPr>
                <w:rFonts w:ascii="Palatino Linotype" w:hAnsi="Palatino Linotype" w:cs="Arial"/>
                <w:sz w:val="24"/>
                <w:szCs w:val="24"/>
                <w:lang w:eastAsia="en-US"/>
              </w:rPr>
            </w:pP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Комиссионные доходы</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41,936</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32,064</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Комиссионные расходы</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(3,791)</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(1,770)</w:t>
            </w:r>
          </w:p>
        </w:tc>
      </w:tr>
      <w:tr w:rsidR="00FB5F40" w:rsidRPr="00026244" w:rsidTr="00372012">
        <w:tc>
          <w:tcPr>
            <w:tcW w:w="2388" w:type="pct"/>
            <w:vAlign w:val="center"/>
          </w:tcPr>
          <w:p w:rsidR="00FB5F40" w:rsidRPr="00026244" w:rsidRDefault="00FB5F40" w:rsidP="00061907">
            <w:pPr>
              <w:pStyle w:val="TableText"/>
              <w:jc w:val="both"/>
              <w:rPr>
                <w:rFonts w:ascii="Palatino Linotype" w:hAnsi="Palatino Linotype" w:cs="Arial"/>
                <w:b/>
                <w:sz w:val="24"/>
                <w:szCs w:val="24"/>
                <w:lang w:eastAsia="en-US"/>
              </w:rPr>
            </w:pPr>
            <w:r w:rsidRPr="00026244">
              <w:rPr>
                <w:rFonts w:ascii="Palatino Linotype" w:hAnsi="Palatino Linotype" w:cs="Arial"/>
                <w:b/>
                <w:sz w:val="24"/>
                <w:szCs w:val="24"/>
                <w:lang w:val="ru-RU" w:eastAsia="en-US"/>
              </w:rPr>
              <w:t>Чистые комиссионные доходы</w:t>
            </w:r>
          </w:p>
        </w:tc>
        <w:tc>
          <w:tcPr>
            <w:tcW w:w="1192"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38,145</w:t>
            </w:r>
          </w:p>
        </w:tc>
        <w:tc>
          <w:tcPr>
            <w:tcW w:w="1420"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30,294</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p>
        </w:tc>
      </w:tr>
      <w:tr w:rsidR="00FB5F40" w:rsidRPr="00026244" w:rsidTr="00372012">
        <w:tc>
          <w:tcPr>
            <w:tcW w:w="2388" w:type="pct"/>
            <w:vAlign w:val="bottom"/>
          </w:tcPr>
          <w:p w:rsidR="00FB5F40" w:rsidRPr="00026244" w:rsidRDefault="00FB5F40" w:rsidP="00061907">
            <w:pPr>
              <w:pStyle w:val="TableText"/>
              <w:rPr>
                <w:rFonts w:ascii="Palatino Linotype" w:hAnsi="Palatino Linotype" w:cs="Arial"/>
                <w:sz w:val="24"/>
                <w:szCs w:val="24"/>
                <w:lang w:val="ru-RU" w:eastAsia="en-US"/>
              </w:rPr>
            </w:pPr>
            <w:r w:rsidRPr="00026244">
              <w:rPr>
                <w:rFonts w:ascii="Palatino Linotype" w:hAnsi="Palatino Linotype" w:cs="Arial"/>
                <w:sz w:val="24"/>
                <w:szCs w:val="24"/>
                <w:lang w:val="ru-RU" w:eastAsia="en-US"/>
              </w:rPr>
              <w:t>Доходы за вычетом расходов по операциям с иностранной валютой</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46,124</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8,215</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Прочие доходы</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352</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20</w:t>
            </w:r>
          </w:p>
        </w:tc>
      </w:tr>
      <w:tr w:rsidR="00FB5F40" w:rsidRPr="00026244" w:rsidTr="00372012">
        <w:tc>
          <w:tcPr>
            <w:tcW w:w="2388" w:type="pct"/>
            <w:vAlign w:val="bottom"/>
          </w:tcPr>
          <w:p w:rsidR="00FB5F40" w:rsidRPr="00026244" w:rsidRDefault="00FB5F40" w:rsidP="00061907">
            <w:pPr>
              <w:pStyle w:val="TableText"/>
              <w:rPr>
                <w:rFonts w:ascii="Palatino Linotype" w:hAnsi="Palatino Linotype" w:cs="Arial"/>
                <w:sz w:val="24"/>
                <w:szCs w:val="24"/>
                <w:lang w:val="ru-RU" w:eastAsia="en-US"/>
              </w:rPr>
            </w:pPr>
            <w:r w:rsidRPr="00026244">
              <w:rPr>
                <w:rFonts w:ascii="Palatino Linotype" w:hAnsi="Palatino Linotype" w:cs="Arial"/>
                <w:sz w:val="24"/>
                <w:szCs w:val="24"/>
                <w:lang w:val="ru-RU" w:eastAsia="en-US"/>
              </w:rPr>
              <w:t>(Обесценение)/реверсирование обесценения по кредитным потерям и прочим активам</w:t>
            </w:r>
          </w:p>
        </w:tc>
        <w:tc>
          <w:tcPr>
            <w:tcW w:w="1192" w:type="pct"/>
          </w:tcPr>
          <w:p w:rsidR="00FB5F40" w:rsidRPr="00026244" w:rsidRDefault="00FB5F40" w:rsidP="00061907">
            <w:pPr>
              <w:pStyle w:val="TableText"/>
              <w:ind w:right="93"/>
              <w:jc w:val="right"/>
              <w:rPr>
                <w:rFonts w:ascii="Palatino Linotype" w:hAnsi="Palatino Linotype" w:cs="Arial"/>
                <w:sz w:val="24"/>
                <w:szCs w:val="24"/>
                <w:lang w:val="en-US" w:eastAsia="en-US"/>
              </w:rPr>
            </w:pPr>
            <w:r w:rsidRPr="00026244">
              <w:rPr>
                <w:rFonts w:ascii="Palatino Linotype" w:hAnsi="Palatino Linotype" w:cs="Arial"/>
                <w:sz w:val="24"/>
                <w:szCs w:val="24"/>
                <w:lang w:val="en-US" w:eastAsia="en-US"/>
              </w:rPr>
              <w:t>(14,427)</w:t>
            </w:r>
          </w:p>
        </w:tc>
        <w:tc>
          <w:tcPr>
            <w:tcW w:w="1420" w:type="pct"/>
          </w:tcPr>
          <w:p w:rsidR="00FB5F40" w:rsidRPr="00026244" w:rsidRDefault="00FB5F40" w:rsidP="00061907">
            <w:pPr>
              <w:pStyle w:val="TableText"/>
              <w:ind w:right="93"/>
              <w:jc w:val="right"/>
              <w:rPr>
                <w:rFonts w:ascii="Palatino Linotype" w:hAnsi="Palatino Linotype" w:cs="Arial"/>
                <w:sz w:val="24"/>
                <w:szCs w:val="24"/>
                <w:lang w:val="en-US" w:eastAsia="en-US"/>
              </w:rPr>
            </w:pPr>
            <w:r w:rsidRPr="00026244">
              <w:rPr>
                <w:rFonts w:ascii="Palatino Linotype" w:hAnsi="Palatino Linotype" w:cs="Arial"/>
                <w:sz w:val="24"/>
                <w:szCs w:val="24"/>
                <w:lang w:val="en-US" w:eastAsia="en-US"/>
              </w:rPr>
              <w:t>984</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Затраты на персонал</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(29,823)</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(26,794)</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Амортизация основных средств</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(5,242)</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(2,936)</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Амортизация нематериальных активов</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(102)</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(78)</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Прочие расходы</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(16,012)</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(11,000)</w:t>
            </w:r>
          </w:p>
        </w:tc>
      </w:tr>
      <w:tr w:rsidR="00FB5F40" w:rsidRPr="00026244" w:rsidTr="00372012">
        <w:tc>
          <w:tcPr>
            <w:tcW w:w="2388" w:type="pct"/>
            <w:vAlign w:val="center"/>
          </w:tcPr>
          <w:p w:rsidR="00FB5F40" w:rsidRPr="00026244" w:rsidRDefault="00FB5F40" w:rsidP="00061907">
            <w:pPr>
              <w:pStyle w:val="TableText"/>
              <w:jc w:val="both"/>
              <w:rPr>
                <w:rFonts w:ascii="Palatino Linotype" w:hAnsi="Palatino Linotype" w:cs="Arial"/>
                <w:sz w:val="24"/>
                <w:szCs w:val="24"/>
                <w:lang w:eastAsia="en-US"/>
              </w:rPr>
            </w:pPr>
            <w:r w:rsidRPr="00026244">
              <w:rPr>
                <w:rFonts w:ascii="Palatino Linotype" w:hAnsi="Palatino Linotype" w:cs="Arial"/>
                <w:sz w:val="24"/>
                <w:szCs w:val="24"/>
                <w:lang w:val="ru-RU" w:eastAsia="en-US"/>
              </w:rPr>
              <w:t>Прибыль до налогообложения</w:t>
            </w:r>
          </w:p>
        </w:tc>
        <w:tc>
          <w:tcPr>
            <w:tcW w:w="1192" w:type="pct"/>
          </w:tcPr>
          <w:p w:rsidR="00FB5F40" w:rsidRPr="00026244" w:rsidRDefault="00FB5F40" w:rsidP="00061907">
            <w:pPr>
              <w:pStyle w:val="TableSubTot"/>
              <w:ind w:right="93"/>
              <w:jc w:val="right"/>
              <w:rPr>
                <w:rFonts w:ascii="Palatino Linotype" w:hAnsi="Palatino Linotype"/>
                <w:bCs/>
                <w:sz w:val="24"/>
                <w:szCs w:val="24"/>
                <w:lang w:eastAsia="en-US"/>
              </w:rPr>
            </w:pPr>
            <w:r w:rsidRPr="00026244">
              <w:rPr>
                <w:rFonts w:ascii="Palatino Linotype" w:hAnsi="Palatino Linotype"/>
                <w:bCs/>
                <w:sz w:val="24"/>
                <w:szCs w:val="24"/>
                <w:lang w:eastAsia="en-US"/>
              </w:rPr>
              <w:t>16,697</w:t>
            </w:r>
          </w:p>
        </w:tc>
        <w:tc>
          <w:tcPr>
            <w:tcW w:w="1420" w:type="pct"/>
          </w:tcPr>
          <w:p w:rsidR="00FB5F40" w:rsidRPr="00026244" w:rsidRDefault="00FB5F40" w:rsidP="00061907">
            <w:pPr>
              <w:pStyle w:val="TableSubTot"/>
              <w:ind w:right="93"/>
              <w:jc w:val="right"/>
              <w:rPr>
                <w:rFonts w:ascii="Palatino Linotype" w:hAnsi="Palatino Linotype"/>
                <w:sz w:val="24"/>
                <w:szCs w:val="24"/>
                <w:lang w:eastAsia="en-US"/>
              </w:rPr>
            </w:pPr>
            <w:r w:rsidRPr="00026244">
              <w:rPr>
                <w:rFonts w:ascii="Palatino Linotype" w:hAnsi="Palatino Linotype"/>
                <w:sz w:val="24"/>
                <w:szCs w:val="24"/>
                <w:lang w:eastAsia="en-US"/>
              </w:rPr>
              <w:t>7,873</w:t>
            </w:r>
          </w:p>
        </w:tc>
      </w:tr>
      <w:tr w:rsidR="00FB5F40" w:rsidRPr="00026244" w:rsidTr="00372012">
        <w:tc>
          <w:tcPr>
            <w:tcW w:w="2388" w:type="pct"/>
            <w:vAlign w:val="bottom"/>
          </w:tcPr>
          <w:p w:rsidR="00FB5F40" w:rsidRPr="00026244" w:rsidRDefault="00FB5F40" w:rsidP="00061907">
            <w:pPr>
              <w:pStyle w:val="TableText"/>
              <w:jc w:val="both"/>
              <w:rPr>
                <w:rFonts w:ascii="Palatino Linotype" w:hAnsi="Palatino Linotype" w:cs="Arial"/>
                <w:sz w:val="24"/>
                <w:szCs w:val="24"/>
                <w:lang w:val="ru-RU" w:eastAsia="en-US"/>
              </w:rPr>
            </w:pPr>
            <w:r w:rsidRPr="00026244">
              <w:rPr>
                <w:rFonts w:ascii="Palatino Linotype" w:hAnsi="Palatino Linotype" w:cs="Arial"/>
                <w:sz w:val="24"/>
                <w:szCs w:val="24"/>
                <w:lang w:val="ru-RU" w:eastAsia="en-US"/>
              </w:rPr>
              <w:t>Расходы по налогу на прибыль</w:t>
            </w:r>
          </w:p>
        </w:tc>
        <w:tc>
          <w:tcPr>
            <w:tcW w:w="1192"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(7,241)</w:t>
            </w:r>
          </w:p>
        </w:tc>
        <w:tc>
          <w:tcPr>
            <w:tcW w:w="1420"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(3,662)</w:t>
            </w:r>
          </w:p>
        </w:tc>
      </w:tr>
      <w:tr w:rsidR="00FB5F40" w:rsidRPr="00026244" w:rsidTr="00372012">
        <w:tc>
          <w:tcPr>
            <w:tcW w:w="2388" w:type="pct"/>
            <w:vAlign w:val="center"/>
          </w:tcPr>
          <w:p w:rsidR="00FB5F40" w:rsidRPr="00026244" w:rsidRDefault="00FB5F40" w:rsidP="00061907">
            <w:pPr>
              <w:pStyle w:val="TableText"/>
              <w:jc w:val="both"/>
              <w:rPr>
                <w:rFonts w:ascii="Palatino Linotype" w:hAnsi="Palatino Linotype" w:cs="Arial"/>
                <w:b/>
                <w:sz w:val="24"/>
                <w:szCs w:val="24"/>
                <w:lang w:eastAsia="en-US"/>
              </w:rPr>
            </w:pPr>
            <w:r w:rsidRPr="00026244">
              <w:rPr>
                <w:rFonts w:ascii="Palatino Linotype" w:hAnsi="Palatino Linotype" w:cs="Arial"/>
                <w:b/>
                <w:bCs/>
                <w:sz w:val="24"/>
                <w:szCs w:val="24"/>
                <w:lang w:val="ru-RU" w:eastAsia="en-US"/>
              </w:rPr>
              <w:t>Прибыль за год</w:t>
            </w:r>
          </w:p>
        </w:tc>
        <w:tc>
          <w:tcPr>
            <w:tcW w:w="1192" w:type="pct"/>
          </w:tcPr>
          <w:p w:rsidR="00FB5F40" w:rsidRPr="00026244" w:rsidRDefault="00FB5F40" w:rsidP="00061907">
            <w:pPr>
              <w:pStyle w:val="TableText"/>
              <w:pBdr>
                <w:top w:val="sing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9,456</w:t>
            </w:r>
          </w:p>
        </w:tc>
        <w:tc>
          <w:tcPr>
            <w:tcW w:w="1420" w:type="pct"/>
          </w:tcPr>
          <w:p w:rsidR="00FB5F40" w:rsidRPr="00026244" w:rsidRDefault="00FB5F40" w:rsidP="00061907">
            <w:pPr>
              <w:pStyle w:val="TableText"/>
              <w:pBdr>
                <w:top w:val="sing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4,211</w:t>
            </w:r>
          </w:p>
        </w:tc>
      </w:tr>
      <w:tr w:rsidR="00FB5F40" w:rsidRPr="00026244" w:rsidTr="00061907">
        <w:trPr>
          <w:trHeight w:val="16"/>
        </w:trPr>
        <w:tc>
          <w:tcPr>
            <w:tcW w:w="2388" w:type="pct"/>
            <w:vAlign w:val="bottom"/>
          </w:tcPr>
          <w:p w:rsidR="00FB5F40" w:rsidRPr="00026244" w:rsidRDefault="00FB5F40" w:rsidP="00061907">
            <w:pPr>
              <w:pStyle w:val="TableText"/>
              <w:jc w:val="both"/>
              <w:rPr>
                <w:rFonts w:ascii="Palatino Linotype" w:hAnsi="Palatino Linotype" w:cs="Arial"/>
                <w:b/>
                <w:sz w:val="24"/>
                <w:szCs w:val="24"/>
                <w:lang w:eastAsia="en-US"/>
              </w:rPr>
            </w:pPr>
            <w:proofErr w:type="spellStart"/>
            <w:r w:rsidRPr="00026244">
              <w:rPr>
                <w:rFonts w:ascii="Palatino Linotype" w:hAnsi="Palatino Linotype" w:cs="Arial"/>
                <w:b/>
                <w:sz w:val="24"/>
                <w:szCs w:val="24"/>
                <w:lang w:eastAsia="en-US"/>
              </w:rPr>
              <w:t>Прочий</w:t>
            </w:r>
            <w:proofErr w:type="spellEnd"/>
            <w:r w:rsidR="003306BA" w:rsidRPr="00026244">
              <w:rPr>
                <w:rFonts w:ascii="Palatino Linotype" w:hAnsi="Palatino Linotype" w:cs="Arial"/>
                <w:b/>
                <w:sz w:val="24"/>
                <w:szCs w:val="24"/>
                <w:lang w:eastAsia="en-US"/>
              </w:rPr>
              <w:t xml:space="preserve"> </w:t>
            </w:r>
            <w:proofErr w:type="spellStart"/>
            <w:r w:rsidRPr="00026244">
              <w:rPr>
                <w:rFonts w:ascii="Palatino Linotype" w:hAnsi="Palatino Linotype" w:cs="Arial"/>
                <w:b/>
                <w:sz w:val="24"/>
                <w:szCs w:val="24"/>
                <w:lang w:eastAsia="en-US"/>
              </w:rPr>
              <w:t>совокупный</w:t>
            </w:r>
            <w:proofErr w:type="spellEnd"/>
            <w:r w:rsidR="003306BA" w:rsidRPr="00026244">
              <w:rPr>
                <w:rFonts w:ascii="Palatino Linotype" w:hAnsi="Palatino Linotype" w:cs="Arial"/>
                <w:b/>
                <w:sz w:val="24"/>
                <w:szCs w:val="24"/>
                <w:lang w:eastAsia="en-US"/>
              </w:rPr>
              <w:t xml:space="preserve"> </w:t>
            </w:r>
            <w:proofErr w:type="spellStart"/>
            <w:r w:rsidRPr="00026244">
              <w:rPr>
                <w:rFonts w:ascii="Palatino Linotype" w:hAnsi="Palatino Linotype" w:cs="Arial"/>
                <w:b/>
                <w:sz w:val="24"/>
                <w:szCs w:val="24"/>
                <w:lang w:eastAsia="en-US"/>
              </w:rPr>
              <w:t>доход</w:t>
            </w:r>
            <w:proofErr w:type="spellEnd"/>
          </w:p>
        </w:tc>
        <w:tc>
          <w:tcPr>
            <w:tcW w:w="1192" w:type="pct"/>
          </w:tcPr>
          <w:p w:rsidR="00FB5F40" w:rsidRPr="00026244" w:rsidRDefault="00FB5F40" w:rsidP="00061907">
            <w:pPr>
              <w:pStyle w:val="TableText"/>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627</w:t>
            </w:r>
          </w:p>
        </w:tc>
        <w:tc>
          <w:tcPr>
            <w:tcW w:w="1420" w:type="pct"/>
          </w:tcPr>
          <w:p w:rsidR="00FB5F40" w:rsidRPr="00026244" w:rsidRDefault="00FB5F40" w:rsidP="00061907">
            <w:pPr>
              <w:pStyle w:val="TableText"/>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564</w:t>
            </w:r>
          </w:p>
        </w:tc>
      </w:tr>
      <w:tr w:rsidR="00FB5F40" w:rsidRPr="00026244" w:rsidTr="00061907">
        <w:trPr>
          <w:trHeight w:val="16"/>
        </w:trPr>
        <w:tc>
          <w:tcPr>
            <w:tcW w:w="2388" w:type="pct"/>
            <w:tcBorders>
              <w:bottom w:val="single" w:sz="12" w:space="0" w:color="006600"/>
            </w:tcBorders>
            <w:vAlign w:val="bottom"/>
          </w:tcPr>
          <w:p w:rsidR="00FB5F40" w:rsidRPr="00026244" w:rsidRDefault="00FB5F40" w:rsidP="00061907">
            <w:pPr>
              <w:pStyle w:val="TableText"/>
              <w:jc w:val="both"/>
              <w:rPr>
                <w:rFonts w:ascii="Palatino Linotype" w:hAnsi="Palatino Linotype" w:cs="Arial"/>
                <w:b/>
                <w:sz w:val="24"/>
                <w:szCs w:val="24"/>
                <w:lang w:val="ru-RU" w:eastAsia="en-US"/>
              </w:rPr>
            </w:pPr>
            <w:r w:rsidRPr="00026244">
              <w:rPr>
                <w:rFonts w:ascii="Palatino Linotype" w:hAnsi="Palatino Linotype" w:cs="Arial"/>
                <w:b/>
                <w:sz w:val="24"/>
                <w:szCs w:val="24"/>
                <w:lang w:val="ru-RU" w:eastAsia="en-US"/>
              </w:rPr>
              <w:t>Всего совокупный доход за год</w:t>
            </w:r>
          </w:p>
        </w:tc>
        <w:tc>
          <w:tcPr>
            <w:tcW w:w="1192" w:type="pct"/>
            <w:tcBorders>
              <w:bottom w:val="single" w:sz="12" w:space="0" w:color="006600"/>
            </w:tcBorders>
          </w:tcPr>
          <w:p w:rsidR="00FB5F40" w:rsidRPr="00026244" w:rsidRDefault="00FB5F40" w:rsidP="00061907">
            <w:pPr>
              <w:pStyle w:val="TableText"/>
              <w:pBdr>
                <w:top w:val="single" w:sz="4" w:space="1" w:color="auto"/>
                <w:bottom w:val="doub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10,083</w:t>
            </w:r>
          </w:p>
        </w:tc>
        <w:tc>
          <w:tcPr>
            <w:tcW w:w="1420" w:type="pct"/>
            <w:tcBorders>
              <w:bottom w:val="single" w:sz="12" w:space="0" w:color="006600"/>
            </w:tcBorders>
          </w:tcPr>
          <w:p w:rsidR="00FB5F40" w:rsidRPr="00026244" w:rsidRDefault="00FB5F40" w:rsidP="00061907">
            <w:pPr>
              <w:pStyle w:val="TableText"/>
              <w:pBdr>
                <w:top w:val="single" w:sz="4" w:space="1" w:color="auto"/>
                <w:bottom w:val="doub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4,775</w:t>
            </w:r>
          </w:p>
        </w:tc>
      </w:tr>
    </w:tbl>
    <w:p w:rsidR="00FB5F40" w:rsidRPr="00026244" w:rsidRDefault="00FB5F40" w:rsidP="00372012">
      <w:pPr>
        <w:autoSpaceDE w:val="0"/>
        <w:autoSpaceDN w:val="0"/>
        <w:adjustRightInd w:val="0"/>
        <w:spacing w:after="0" w:line="240" w:lineRule="auto"/>
        <w:rPr>
          <w:rFonts w:ascii="Palatino Linotype" w:hAnsi="Palatino Linotype" w:cs="Eurofont-Bold"/>
          <w:b/>
          <w:bCs/>
          <w:color w:val="C25C9C"/>
          <w:sz w:val="24"/>
          <w:szCs w:val="24"/>
          <w:lang w:eastAsia="ru-RU"/>
        </w:rPr>
      </w:pPr>
    </w:p>
    <w:p w:rsidR="00FB5F40" w:rsidRPr="00026244" w:rsidRDefault="00FB5F40" w:rsidP="001F678E">
      <w:pPr>
        <w:spacing w:after="0"/>
        <w:ind w:firstLine="284"/>
        <w:jc w:val="both"/>
        <w:rPr>
          <w:rFonts w:ascii="Palatino Linotype" w:hAnsi="Palatino Linotype"/>
        </w:rPr>
        <w:sectPr w:rsidR="00FB5F40" w:rsidRPr="00026244" w:rsidSect="00372012">
          <w:type w:val="continuous"/>
          <w:pgSz w:w="11906" w:h="16838"/>
          <w:pgMar w:top="1134" w:right="850" w:bottom="1134" w:left="1134" w:header="708" w:footer="708" w:gutter="0"/>
          <w:cols w:space="566"/>
          <w:rtlGutter/>
          <w:docGrid w:linePitch="360"/>
        </w:sect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lang w:val="en-US"/>
        </w:rPr>
      </w:pPr>
    </w:p>
    <w:p w:rsidR="00766A11" w:rsidRPr="00026244" w:rsidRDefault="00766A11"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sz w:val="24"/>
          <w:szCs w:val="24"/>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372012">
      <w:pPr>
        <w:pStyle w:val="SectionTitle"/>
        <w:spacing w:after="300"/>
        <w:sectPr w:rsidR="00FB5F40" w:rsidRPr="00026244" w:rsidSect="00EF010A">
          <w:type w:val="continuous"/>
          <w:pgSz w:w="11906" w:h="16838"/>
          <w:pgMar w:top="1134" w:right="850" w:bottom="1134" w:left="1134" w:header="708" w:footer="708" w:gutter="0"/>
          <w:cols w:num="2" w:space="566"/>
          <w:docGrid w:linePitch="360"/>
        </w:sectPr>
      </w:pPr>
      <w:bookmarkStart w:id="6" w:name="_Toc158794513"/>
      <w:bookmarkStart w:id="7" w:name="_Toc323507383"/>
    </w:p>
    <w:p w:rsidR="00FB5F40" w:rsidRPr="00026244" w:rsidRDefault="00FB5F40" w:rsidP="00766A11">
      <w:pPr>
        <w:spacing w:after="0"/>
        <w:rPr>
          <w:rFonts w:ascii="Palatino Linotype" w:hAnsi="Palatino Linotype"/>
          <w:b/>
          <w:color w:val="003300"/>
          <w:sz w:val="32"/>
          <w:szCs w:val="32"/>
          <w:lang w:val="tg-Cyrl-TJ"/>
        </w:rPr>
      </w:pPr>
      <w:r w:rsidRPr="00026244">
        <w:rPr>
          <w:rFonts w:ascii="Palatino Linotype" w:hAnsi="Palatino Linotype"/>
          <w:b/>
          <w:color w:val="003300"/>
          <w:sz w:val="32"/>
          <w:szCs w:val="32"/>
          <w:lang w:val="tg-Cyrl-TJ"/>
        </w:rPr>
        <w:lastRenderedPageBreak/>
        <w:t>Statement</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of</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comprehensive</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income</w:t>
      </w:r>
      <w:bookmarkEnd w:id="6"/>
      <w:bookmarkEnd w:id="7"/>
    </w:p>
    <w:tbl>
      <w:tblPr>
        <w:tblW w:w="9478" w:type="dxa"/>
        <w:tblLayout w:type="fixed"/>
        <w:tblCellMar>
          <w:top w:w="28" w:type="dxa"/>
          <w:left w:w="0" w:type="dxa"/>
          <w:bottom w:w="28" w:type="dxa"/>
          <w:right w:w="0" w:type="dxa"/>
        </w:tblCellMar>
        <w:tblLook w:val="0000" w:firstRow="0" w:lastRow="0" w:firstColumn="0" w:lastColumn="0" w:noHBand="0" w:noVBand="0"/>
      </w:tblPr>
      <w:tblGrid>
        <w:gridCol w:w="4444"/>
        <w:gridCol w:w="540"/>
        <w:gridCol w:w="2246"/>
        <w:gridCol w:w="2248"/>
      </w:tblGrid>
      <w:tr w:rsidR="00FB5F40" w:rsidRPr="00026244" w:rsidTr="00061907">
        <w:trPr>
          <w:tblHeader/>
        </w:trPr>
        <w:tc>
          <w:tcPr>
            <w:tcW w:w="2344" w:type="pct"/>
            <w:tcBorders>
              <w:top w:val="single" w:sz="12" w:space="0" w:color="006600"/>
              <w:bottom w:val="single" w:sz="12" w:space="0" w:color="006600"/>
            </w:tcBorders>
          </w:tcPr>
          <w:p w:rsidR="00FB5F40" w:rsidRPr="00026244" w:rsidRDefault="00FB5F40" w:rsidP="00061907">
            <w:pPr>
              <w:pStyle w:val="TableHeading"/>
              <w:tabs>
                <w:tab w:val="right" w:pos="4680"/>
              </w:tabs>
              <w:rPr>
                <w:rFonts w:ascii="Palatino Linotype" w:hAnsi="Palatino Linotype"/>
                <w:b w:val="0"/>
                <w:sz w:val="24"/>
                <w:szCs w:val="24"/>
              </w:rPr>
            </w:pPr>
            <w:r w:rsidRPr="00026244">
              <w:rPr>
                <w:rFonts w:ascii="Palatino Linotype" w:hAnsi="Palatino Linotype"/>
                <w:b w:val="0"/>
                <w:sz w:val="24"/>
                <w:szCs w:val="24"/>
              </w:rPr>
              <w:t xml:space="preserve">In thousands Tajik </w:t>
            </w:r>
            <w:proofErr w:type="spellStart"/>
            <w:r w:rsidRPr="00026244">
              <w:rPr>
                <w:rFonts w:ascii="Palatino Linotype" w:hAnsi="Palatino Linotype"/>
                <w:b w:val="0"/>
                <w:sz w:val="24"/>
                <w:szCs w:val="24"/>
              </w:rPr>
              <w:t>somoni</w:t>
            </w:r>
            <w:proofErr w:type="spellEnd"/>
            <w:r w:rsidRPr="00026244">
              <w:rPr>
                <w:rFonts w:ascii="Palatino Linotype" w:hAnsi="Palatino Linotype"/>
                <w:b w:val="0"/>
                <w:sz w:val="24"/>
                <w:szCs w:val="24"/>
              </w:rPr>
              <w:tab/>
            </w:r>
          </w:p>
        </w:tc>
        <w:tc>
          <w:tcPr>
            <w:tcW w:w="285" w:type="pct"/>
            <w:tcBorders>
              <w:top w:val="single" w:sz="12" w:space="0" w:color="006600"/>
              <w:bottom w:val="single" w:sz="12" w:space="0" w:color="006600"/>
            </w:tcBorders>
            <w:vAlign w:val="bottom"/>
          </w:tcPr>
          <w:p w:rsidR="00FB5F40" w:rsidRPr="00026244" w:rsidRDefault="00FB5F40" w:rsidP="00061907">
            <w:pPr>
              <w:pStyle w:val="TableHeading"/>
              <w:jc w:val="center"/>
              <w:rPr>
                <w:rFonts w:ascii="Palatino Linotype" w:hAnsi="Palatino Linotype"/>
                <w:b w:val="0"/>
                <w:sz w:val="24"/>
                <w:szCs w:val="24"/>
              </w:rPr>
            </w:pPr>
            <w:r w:rsidRPr="00026244">
              <w:rPr>
                <w:rFonts w:ascii="Palatino Linotype" w:hAnsi="Palatino Linotype"/>
                <w:b w:val="0"/>
                <w:sz w:val="24"/>
                <w:szCs w:val="24"/>
              </w:rPr>
              <w:t>Notes</w:t>
            </w:r>
          </w:p>
        </w:tc>
        <w:tc>
          <w:tcPr>
            <w:tcW w:w="1185" w:type="pct"/>
            <w:tcBorders>
              <w:top w:val="single" w:sz="12" w:space="0" w:color="006600"/>
              <w:bottom w:val="single" w:sz="12" w:space="0" w:color="006600"/>
            </w:tcBorders>
            <w:noWrap/>
            <w:vAlign w:val="bottom"/>
          </w:tcPr>
          <w:p w:rsidR="00FB5F40" w:rsidRPr="00026244" w:rsidRDefault="00FB5F40" w:rsidP="00061907">
            <w:pPr>
              <w:pStyle w:val="TableHeading"/>
              <w:ind w:right="93"/>
              <w:jc w:val="right"/>
              <w:rPr>
                <w:rFonts w:ascii="Palatino Linotype" w:hAnsi="Palatino Linotype"/>
                <w:b w:val="0"/>
                <w:sz w:val="24"/>
                <w:szCs w:val="24"/>
              </w:rPr>
            </w:pPr>
            <w:r w:rsidRPr="00026244">
              <w:rPr>
                <w:rFonts w:ascii="Palatino Linotype" w:hAnsi="Palatino Linotype"/>
                <w:b w:val="0"/>
                <w:sz w:val="24"/>
                <w:szCs w:val="24"/>
              </w:rPr>
              <w:t>Year ended</w:t>
            </w:r>
          </w:p>
          <w:p w:rsidR="00FB5F40" w:rsidRPr="00026244" w:rsidRDefault="00FB5F40" w:rsidP="00061907">
            <w:pPr>
              <w:pStyle w:val="TableHeading"/>
              <w:ind w:right="93"/>
              <w:jc w:val="right"/>
              <w:rPr>
                <w:rFonts w:ascii="Palatino Linotype" w:hAnsi="Palatino Linotype"/>
                <w:b w:val="0"/>
                <w:sz w:val="24"/>
                <w:szCs w:val="24"/>
              </w:rPr>
            </w:pPr>
            <w:r w:rsidRPr="00026244">
              <w:rPr>
                <w:rFonts w:ascii="Palatino Linotype" w:hAnsi="Palatino Linotype"/>
                <w:b w:val="0"/>
                <w:sz w:val="24"/>
                <w:szCs w:val="24"/>
              </w:rPr>
              <w:t>December 31, 2011</w:t>
            </w:r>
          </w:p>
        </w:tc>
        <w:tc>
          <w:tcPr>
            <w:tcW w:w="1186" w:type="pct"/>
            <w:tcBorders>
              <w:top w:val="single" w:sz="12" w:space="0" w:color="006600"/>
              <w:bottom w:val="single" w:sz="12" w:space="0" w:color="006600"/>
            </w:tcBorders>
            <w:noWrap/>
            <w:vAlign w:val="bottom"/>
          </w:tcPr>
          <w:p w:rsidR="00FB5F40" w:rsidRPr="00026244" w:rsidRDefault="00FB5F40" w:rsidP="00061907">
            <w:pPr>
              <w:pStyle w:val="TableHeading"/>
              <w:ind w:right="93"/>
              <w:jc w:val="right"/>
              <w:rPr>
                <w:rFonts w:ascii="Palatino Linotype" w:hAnsi="Palatino Linotype"/>
                <w:b w:val="0"/>
                <w:sz w:val="24"/>
                <w:szCs w:val="24"/>
              </w:rPr>
            </w:pPr>
            <w:r w:rsidRPr="00026244">
              <w:rPr>
                <w:rFonts w:ascii="Palatino Linotype" w:hAnsi="Palatino Linotype"/>
                <w:b w:val="0"/>
                <w:sz w:val="24"/>
                <w:szCs w:val="24"/>
              </w:rPr>
              <w:t>Year ended</w:t>
            </w:r>
          </w:p>
          <w:p w:rsidR="00FB5F40" w:rsidRPr="00026244" w:rsidRDefault="00FB5F40" w:rsidP="00061907">
            <w:pPr>
              <w:pStyle w:val="TableHeading"/>
              <w:ind w:right="93"/>
              <w:jc w:val="right"/>
              <w:rPr>
                <w:rFonts w:ascii="Palatino Linotype" w:hAnsi="Palatino Linotype"/>
                <w:b w:val="0"/>
                <w:sz w:val="24"/>
                <w:szCs w:val="24"/>
              </w:rPr>
            </w:pPr>
            <w:r w:rsidRPr="00026244">
              <w:rPr>
                <w:rFonts w:ascii="Palatino Linotype" w:hAnsi="Palatino Linotype"/>
                <w:b w:val="0"/>
                <w:sz w:val="24"/>
                <w:szCs w:val="24"/>
              </w:rPr>
              <w:t xml:space="preserve"> December 31, 2010</w:t>
            </w:r>
          </w:p>
        </w:tc>
      </w:tr>
      <w:tr w:rsidR="00FB5F40" w:rsidRPr="00026244" w:rsidTr="00061907">
        <w:trPr>
          <w:tblHeader/>
        </w:trPr>
        <w:tc>
          <w:tcPr>
            <w:tcW w:w="2344" w:type="pct"/>
            <w:tcBorders>
              <w:top w:val="single" w:sz="12" w:space="0" w:color="006600"/>
            </w:tcBorders>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 xml:space="preserve">Interest and similar income </w:t>
            </w:r>
          </w:p>
        </w:tc>
        <w:tc>
          <w:tcPr>
            <w:tcW w:w="285" w:type="pct"/>
            <w:tcBorders>
              <w:top w:val="single" w:sz="12" w:space="0" w:color="006600"/>
            </w:tcBorders>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6</w:t>
            </w:r>
          </w:p>
        </w:tc>
        <w:tc>
          <w:tcPr>
            <w:tcW w:w="1185" w:type="pct"/>
            <w:tcBorders>
              <w:top w:val="single" w:sz="12" w:space="0" w:color="006600"/>
            </w:tcBorders>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43,544</w:t>
            </w:r>
          </w:p>
        </w:tc>
        <w:tc>
          <w:tcPr>
            <w:tcW w:w="1186" w:type="pct"/>
            <w:tcBorders>
              <w:top w:val="single" w:sz="12" w:space="0" w:color="006600"/>
            </w:tcBorders>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35,413</w:t>
            </w:r>
          </w:p>
        </w:tc>
      </w:tr>
      <w:tr w:rsidR="00FB5F40" w:rsidRPr="00026244" w:rsidTr="00372012">
        <w:tc>
          <w:tcPr>
            <w:tcW w:w="2344" w:type="pct"/>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Interest and similar expense</w:t>
            </w:r>
          </w:p>
        </w:tc>
        <w:tc>
          <w:tcPr>
            <w:tcW w:w="285" w:type="pct"/>
          </w:tcPr>
          <w:p w:rsidR="00FB5F40" w:rsidRPr="00026244" w:rsidRDefault="00FB5F40" w:rsidP="00061907">
            <w:pPr>
              <w:pStyle w:val="TableText"/>
              <w:ind w:left="-1" w:firstLine="1"/>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6</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(45,862)</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(26,245)</w:t>
            </w:r>
          </w:p>
        </w:tc>
      </w:tr>
      <w:tr w:rsidR="00FB5F40" w:rsidRPr="00026244" w:rsidTr="00372012">
        <w:tc>
          <w:tcPr>
            <w:tcW w:w="2344" w:type="pct"/>
            <w:vAlign w:val="center"/>
          </w:tcPr>
          <w:p w:rsidR="00FB5F40" w:rsidRPr="00026244" w:rsidRDefault="00FB5F40" w:rsidP="00061907">
            <w:pPr>
              <w:pStyle w:val="TableText"/>
              <w:rPr>
                <w:rFonts w:ascii="Palatino Linotype" w:hAnsi="Palatino Linotype" w:cs="Arial"/>
                <w:b/>
                <w:sz w:val="24"/>
                <w:szCs w:val="24"/>
                <w:lang w:eastAsia="en-US"/>
              </w:rPr>
            </w:pPr>
            <w:r w:rsidRPr="00026244">
              <w:rPr>
                <w:rFonts w:ascii="Palatino Linotype" w:hAnsi="Palatino Linotype" w:cs="Arial"/>
                <w:b/>
                <w:sz w:val="24"/>
                <w:szCs w:val="24"/>
                <w:lang w:eastAsia="en-US"/>
              </w:rPr>
              <w:t>Net interest income</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p>
        </w:tc>
        <w:tc>
          <w:tcPr>
            <w:tcW w:w="1185"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(2,318)</w:t>
            </w:r>
          </w:p>
        </w:tc>
        <w:tc>
          <w:tcPr>
            <w:tcW w:w="1186"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9,168</w:t>
            </w:r>
          </w:p>
        </w:tc>
      </w:tr>
      <w:tr w:rsidR="00FB5F40" w:rsidRPr="00026244" w:rsidTr="00372012">
        <w:tc>
          <w:tcPr>
            <w:tcW w:w="2344" w:type="pct"/>
          </w:tcPr>
          <w:p w:rsidR="00FB5F40" w:rsidRPr="00026244" w:rsidRDefault="00FB5F40" w:rsidP="00061907">
            <w:pPr>
              <w:pStyle w:val="TableText"/>
              <w:rPr>
                <w:rFonts w:ascii="Palatino Linotype" w:hAnsi="Palatino Linotype" w:cs="Arial"/>
                <w:sz w:val="24"/>
                <w:szCs w:val="24"/>
                <w:lang w:eastAsia="en-US"/>
              </w:rPr>
            </w:pP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p>
        </w:tc>
        <w:tc>
          <w:tcPr>
            <w:tcW w:w="1186" w:type="pct"/>
          </w:tcPr>
          <w:p w:rsidR="00FB5F40" w:rsidRPr="00026244" w:rsidRDefault="00FB5F40" w:rsidP="00061907">
            <w:pPr>
              <w:pStyle w:val="TableText"/>
              <w:tabs>
                <w:tab w:val="left" w:pos="1636"/>
              </w:tabs>
              <w:ind w:right="93"/>
              <w:jc w:val="right"/>
              <w:rPr>
                <w:rFonts w:ascii="Palatino Linotype" w:hAnsi="Palatino Linotype" w:cs="Arial"/>
                <w:sz w:val="24"/>
                <w:szCs w:val="24"/>
                <w:lang w:eastAsia="en-US"/>
              </w:rPr>
            </w:pP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Fee and commission income</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7</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41,936</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32,064</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Fee and commission expense</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7</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(3,791)</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(1,770)</w:t>
            </w:r>
          </w:p>
        </w:tc>
      </w:tr>
      <w:tr w:rsidR="00FB5F40" w:rsidRPr="00026244" w:rsidTr="00372012">
        <w:tc>
          <w:tcPr>
            <w:tcW w:w="2344" w:type="pct"/>
            <w:vAlign w:val="center"/>
          </w:tcPr>
          <w:p w:rsidR="00FB5F40" w:rsidRPr="00026244" w:rsidRDefault="00FB5F40" w:rsidP="00061907">
            <w:pPr>
              <w:pStyle w:val="TableText"/>
              <w:rPr>
                <w:rFonts w:ascii="Palatino Linotype" w:hAnsi="Palatino Linotype" w:cs="Arial"/>
                <w:b/>
                <w:sz w:val="24"/>
                <w:szCs w:val="24"/>
                <w:lang w:eastAsia="en-US"/>
              </w:rPr>
            </w:pPr>
            <w:r w:rsidRPr="00026244">
              <w:rPr>
                <w:rFonts w:ascii="Palatino Linotype" w:hAnsi="Palatino Linotype" w:cs="Arial"/>
                <w:b/>
                <w:sz w:val="24"/>
                <w:szCs w:val="24"/>
                <w:lang w:eastAsia="en-US"/>
              </w:rPr>
              <w:t>Net fee and commission income</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p>
        </w:tc>
        <w:tc>
          <w:tcPr>
            <w:tcW w:w="1185"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38,145</w:t>
            </w:r>
          </w:p>
        </w:tc>
        <w:tc>
          <w:tcPr>
            <w:tcW w:w="1186"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30,294</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Realised gains less losses from transaction in foreign currencies</w:t>
            </w:r>
          </w:p>
        </w:tc>
        <w:tc>
          <w:tcPr>
            <w:tcW w:w="285" w:type="pct"/>
          </w:tcPr>
          <w:p w:rsidR="00FB5F40" w:rsidRPr="00026244" w:rsidRDefault="00FB5F40" w:rsidP="00061907">
            <w:pPr>
              <w:pStyle w:val="TableText"/>
              <w:jc w:val="center"/>
              <w:rPr>
                <w:rFonts w:ascii="Palatino Linotype" w:hAnsi="Palatino Linotype" w:cs="Arial"/>
                <w:sz w:val="24"/>
                <w:szCs w:val="24"/>
                <w:lang w:val="en-US" w:eastAsia="en-US"/>
              </w:rPr>
            </w:pP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46,124</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8,215</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Other income</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352</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20</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Style w:val="hps"/>
                <w:rFonts w:ascii="Palatino Linotype" w:hAnsi="Palatino Linotype" w:cs="Arial"/>
                <w:sz w:val="24"/>
                <w:szCs w:val="24"/>
                <w:lang w:eastAsia="en-US"/>
              </w:rPr>
              <w:t>(Impairment)/</w:t>
            </w:r>
            <w:r w:rsidRPr="00026244">
              <w:rPr>
                <w:rFonts w:ascii="Palatino Linotype" w:hAnsi="Palatino Linotype" w:cs="Arial"/>
                <w:sz w:val="24"/>
                <w:szCs w:val="24"/>
                <w:lang w:eastAsia="en-US"/>
              </w:rPr>
              <w:t xml:space="preserve">reversal of </w:t>
            </w:r>
            <w:proofErr w:type="spellStart"/>
            <w:r w:rsidRPr="00026244">
              <w:rPr>
                <w:rStyle w:val="hps"/>
                <w:rFonts w:ascii="Palatino Linotype" w:hAnsi="Palatino Linotype" w:cs="Arial"/>
                <w:sz w:val="24"/>
                <w:szCs w:val="24"/>
                <w:lang w:eastAsia="en-US"/>
              </w:rPr>
              <w:t>impairmentof</w:t>
            </w:r>
            <w:proofErr w:type="spellEnd"/>
            <w:r w:rsidRPr="00026244">
              <w:rPr>
                <w:rStyle w:val="hps"/>
                <w:rFonts w:ascii="Palatino Linotype" w:hAnsi="Palatino Linotype" w:cs="Arial"/>
                <w:sz w:val="24"/>
                <w:szCs w:val="24"/>
                <w:lang w:eastAsia="en-US"/>
              </w:rPr>
              <w:t xml:space="preserve"> </w:t>
            </w:r>
            <w:proofErr w:type="spellStart"/>
            <w:r w:rsidRPr="00026244">
              <w:rPr>
                <w:rStyle w:val="hps"/>
                <w:rFonts w:ascii="Palatino Linotype" w:hAnsi="Palatino Linotype" w:cs="Arial"/>
                <w:sz w:val="24"/>
                <w:szCs w:val="24"/>
                <w:lang w:eastAsia="en-US"/>
              </w:rPr>
              <w:t>creditlosses</w:t>
            </w:r>
            <w:proofErr w:type="spellEnd"/>
            <w:r w:rsidRPr="00026244">
              <w:rPr>
                <w:rStyle w:val="hps"/>
                <w:rFonts w:ascii="Palatino Linotype" w:hAnsi="Palatino Linotype" w:cs="Arial"/>
                <w:sz w:val="24"/>
                <w:szCs w:val="24"/>
                <w:lang w:eastAsia="en-US"/>
              </w:rPr>
              <w:t xml:space="preserve"> </w:t>
            </w:r>
            <w:proofErr w:type="spellStart"/>
            <w:r w:rsidRPr="00026244">
              <w:rPr>
                <w:rStyle w:val="hps"/>
                <w:rFonts w:ascii="Palatino Linotype" w:hAnsi="Palatino Linotype" w:cs="Arial"/>
                <w:sz w:val="24"/>
                <w:szCs w:val="24"/>
                <w:lang w:eastAsia="en-US"/>
              </w:rPr>
              <w:t>andother</w:t>
            </w:r>
            <w:proofErr w:type="spellEnd"/>
            <w:r w:rsidRPr="00026244">
              <w:rPr>
                <w:rStyle w:val="hps"/>
                <w:rFonts w:ascii="Palatino Linotype" w:hAnsi="Palatino Linotype" w:cs="Arial"/>
                <w:sz w:val="24"/>
                <w:szCs w:val="24"/>
                <w:lang w:eastAsia="en-US"/>
              </w:rPr>
              <w:t xml:space="preserve"> assets</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8</w:t>
            </w:r>
          </w:p>
        </w:tc>
        <w:tc>
          <w:tcPr>
            <w:tcW w:w="1185" w:type="pct"/>
          </w:tcPr>
          <w:p w:rsidR="00FB5F40" w:rsidRPr="00026244" w:rsidRDefault="00FB5F40" w:rsidP="00061907">
            <w:pPr>
              <w:pStyle w:val="TableText"/>
              <w:ind w:right="93"/>
              <w:jc w:val="right"/>
              <w:rPr>
                <w:rFonts w:ascii="Palatino Linotype" w:hAnsi="Palatino Linotype" w:cs="Arial"/>
                <w:sz w:val="24"/>
                <w:szCs w:val="24"/>
                <w:lang w:val="en-US" w:eastAsia="en-US"/>
              </w:rPr>
            </w:pPr>
            <w:r w:rsidRPr="00026244">
              <w:rPr>
                <w:rFonts w:ascii="Palatino Linotype" w:hAnsi="Palatino Linotype" w:cs="Arial"/>
                <w:sz w:val="24"/>
                <w:szCs w:val="24"/>
                <w:lang w:val="en-US" w:eastAsia="en-US"/>
              </w:rPr>
              <w:t>(14,427)</w:t>
            </w:r>
          </w:p>
        </w:tc>
        <w:tc>
          <w:tcPr>
            <w:tcW w:w="1186" w:type="pct"/>
          </w:tcPr>
          <w:p w:rsidR="00FB5F40" w:rsidRPr="00026244" w:rsidRDefault="00FB5F40" w:rsidP="00061907">
            <w:pPr>
              <w:pStyle w:val="TableText"/>
              <w:ind w:right="93"/>
              <w:jc w:val="right"/>
              <w:rPr>
                <w:rFonts w:ascii="Palatino Linotype" w:hAnsi="Palatino Linotype" w:cs="Arial"/>
                <w:sz w:val="24"/>
                <w:szCs w:val="24"/>
                <w:lang w:val="en-US" w:eastAsia="en-US"/>
              </w:rPr>
            </w:pPr>
            <w:r w:rsidRPr="00026244">
              <w:rPr>
                <w:rFonts w:ascii="Palatino Linotype" w:hAnsi="Palatino Linotype" w:cs="Arial"/>
                <w:sz w:val="24"/>
                <w:szCs w:val="24"/>
                <w:lang w:val="en-US" w:eastAsia="en-US"/>
              </w:rPr>
              <w:t>984</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Staff costs</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9</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(29,823)</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(26,794)</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Depreciation of property and equipment</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16</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(5,242)</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(2,936)</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Amortization of intangible assets</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17</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(102)</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(78)</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 xml:space="preserve">Other expenses </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10</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(16,012)</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(11,000)</w:t>
            </w:r>
          </w:p>
        </w:tc>
      </w:tr>
      <w:tr w:rsidR="00FB5F40" w:rsidRPr="00026244" w:rsidTr="00372012">
        <w:tc>
          <w:tcPr>
            <w:tcW w:w="2344" w:type="pct"/>
            <w:vAlign w:val="bottom"/>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b/>
                <w:sz w:val="24"/>
                <w:szCs w:val="24"/>
                <w:lang w:eastAsia="en-US"/>
              </w:rPr>
              <w:t>Profit before income tax</w:t>
            </w:r>
          </w:p>
        </w:tc>
        <w:tc>
          <w:tcPr>
            <w:tcW w:w="285" w:type="pct"/>
          </w:tcPr>
          <w:p w:rsidR="00FB5F40" w:rsidRPr="00026244" w:rsidRDefault="00FB5F40" w:rsidP="00061907">
            <w:pPr>
              <w:pStyle w:val="tabelt"/>
              <w:ind w:right="0"/>
              <w:jc w:val="center"/>
              <w:rPr>
                <w:rFonts w:ascii="Palatino Linotype" w:hAnsi="Palatino Linotype"/>
                <w:sz w:val="24"/>
                <w:szCs w:val="24"/>
              </w:rPr>
            </w:pPr>
          </w:p>
        </w:tc>
        <w:tc>
          <w:tcPr>
            <w:tcW w:w="1185" w:type="pct"/>
          </w:tcPr>
          <w:p w:rsidR="00FB5F40" w:rsidRPr="00026244" w:rsidRDefault="00FB5F40" w:rsidP="00061907">
            <w:pPr>
              <w:pStyle w:val="TableSubTot"/>
              <w:ind w:right="93"/>
              <w:jc w:val="right"/>
              <w:rPr>
                <w:rFonts w:ascii="Palatino Linotype" w:hAnsi="Palatino Linotype"/>
                <w:b/>
                <w:bCs/>
                <w:sz w:val="24"/>
                <w:szCs w:val="24"/>
                <w:lang w:eastAsia="en-US"/>
              </w:rPr>
            </w:pPr>
            <w:r w:rsidRPr="00026244">
              <w:rPr>
                <w:rFonts w:ascii="Palatino Linotype" w:hAnsi="Palatino Linotype"/>
                <w:b/>
                <w:bCs/>
                <w:sz w:val="24"/>
                <w:szCs w:val="24"/>
                <w:lang w:eastAsia="en-US"/>
              </w:rPr>
              <w:t>16,697</w:t>
            </w:r>
          </w:p>
        </w:tc>
        <w:tc>
          <w:tcPr>
            <w:tcW w:w="1186" w:type="pct"/>
          </w:tcPr>
          <w:p w:rsidR="00FB5F40" w:rsidRPr="00026244" w:rsidRDefault="00FB5F40" w:rsidP="00061907">
            <w:pPr>
              <w:pStyle w:val="TableSubTot"/>
              <w:ind w:right="93"/>
              <w:jc w:val="right"/>
              <w:rPr>
                <w:rFonts w:ascii="Palatino Linotype" w:hAnsi="Palatino Linotype"/>
                <w:b/>
                <w:sz w:val="24"/>
                <w:szCs w:val="24"/>
                <w:lang w:eastAsia="en-US"/>
              </w:rPr>
            </w:pPr>
            <w:r w:rsidRPr="00026244">
              <w:rPr>
                <w:rFonts w:ascii="Palatino Linotype" w:hAnsi="Palatino Linotype"/>
                <w:b/>
                <w:sz w:val="24"/>
                <w:szCs w:val="24"/>
                <w:lang w:eastAsia="en-US"/>
              </w:rPr>
              <w:t>7,873</w:t>
            </w:r>
          </w:p>
        </w:tc>
      </w:tr>
      <w:tr w:rsidR="00FB5F40" w:rsidRPr="00026244" w:rsidTr="00372012">
        <w:tc>
          <w:tcPr>
            <w:tcW w:w="2344" w:type="pct"/>
            <w:vAlign w:val="center"/>
          </w:tcPr>
          <w:p w:rsidR="00FB5F40" w:rsidRPr="00026244" w:rsidRDefault="00FB5F40" w:rsidP="00061907">
            <w:pPr>
              <w:pStyle w:val="TableText"/>
              <w:rPr>
                <w:rFonts w:ascii="Palatino Linotype" w:hAnsi="Palatino Linotype" w:cs="Arial"/>
                <w:sz w:val="24"/>
                <w:szCs w:val="24"/>
                <w:lang w:eastAsia="en-US"/>
              </w:rPr>
            </w:pPr>
            <w:r w:rsidRPr="00026244">
              <w:rPr>
                <w:rFonts w:ascii="Palatino Linotype" w:hAnsi="Palatino Linotype" w:cs="Arial"/>
                <w:sz w:val="24"/>
                <w:szCs w:val="24"/>
                <w:lang w:eastAsia="en-US"/>
              </w:rPr>
              <w:t>Income tax expense</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r w:rsidRPr="00026244">
              <w:rPr>
                <w:rFonts w:ascii="Palatino Linotype" w:hAnsi="Palatino Linotype" w:cs="Arial"/>
                <w:sz w:val="24"/>
                <w:szCs w:val="24"/>
                <w:lang w:eastAsia="en-US"/>
              </w:rPr>
              <w:t>11</w:t>
            </w:r>
          </w:p>
        </w:tc>
        <w:tc>
          <w:tcPr>
            <w:tcW w:w="1185"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(7,241)</w:t>
            </w:r>
          </w:p>
        </w:tc>
        <w:tc>
          <w:tcPr>
            <w:tcW w:w="1186" w:type="pct"/>
          </w:tcPr>
          <w:p w:rsidR="00FB5F40" w:rsidRPr="00026244" w:rsidRDefault="00FB5F40" w:rsidP="00061907">
            <w:pPr>
              <w:pStyle w:val="TableText"/>
              <w:ind w:right="93"/>
              <w:jc w:val="right"/>
              <w:rPr>
                <w:rFonts w:ascii="Palatino Linotype" w:hAnsi="Palatino Linotype" w:cs="Arial"/>
                <w:sz w:val="24"/>
                <w:szCs w:val="24"/>
                <w:lang w:eastAsia="en-US"/>
              </w:rPr>
            </w:pPr>
            <w:r w:rsidRPr="00026244">
              <w:rPr>
                <w:rFonts w:ascii="Palatino Linotype" w:hAnsi="Palatino Linotype" w:cs="Arial"/>
                <w:sz w:val="24"/>
                <w:szCs w:val="24"/>
                <w:lang w:eastAsia="en-US"/>
              </w:rPr>
              <w:t>(3,662)</w:t>
            </w:r>
          </w:p>
        </w:tc>
      </w:tr>
      <w:tr w:rsidR="00FB5F40" w:rsidRPr="00026244" w:rsidTr="00E9728B">
        <w:tc>
          <w:tcPr>
            <w:tcW w:w="2344" w:type="pct"/>
            <w:vAlign w:val="bottom"/>
          </w:tcPr>
          <w:p w:rsidR="00FB5F40" w:rsidRPr="00026244" w:rsidRDefault="00FB5F40" w:rsidP="00061907">
            <w:pPr>
              <w:pStyle w:val="TableText"/>
              <w:rPr>
                <w:rFonts w:ascii="Palatino Linotype" w:hAnsi="Palatino Linotype" w:cs="Arial"/>
                <w:b/>
                <w:sz w:val="24"/>
                <w:szCs w:val="24"/>
                <w:lang w:eastAsia="en-US"/>
              </w:rPr>
            </w:pPr>
            <w:r w:rsidRPr="00026244">
              <w:rPr>
                <w:rFonts w:ascii="Palatino Linotype" w:hAnsi="Palatino Linotype" w:cs="Arial"/>
                <w:b/>
                <w:sz w:val="24"/>
                <w:szCs w:val="24"/>
                <w:lang w:eastAsia="en-US"/>
              </w:rPr>
              <w:t>Profit for the year</w:t>
            </w:r>
          </w:p>
        </w:tc>
        <w:tc>
          <w:tcPr>
            <w:tcW w:w="285" w:type="pct"/>
          </w:tcPr>
          <w:p w:rsidR="00FB5F40" w:rsidRPr="00026244" w:rsidRDefault="00FB5F40" w:rsidP="00061907">
            <w:pPr>
              <w:pStyle w:val="tabelt"/>
              <w:ind w:right="0"/>
              <w:jc w:val="center"/>
              <w:rPr>
                <w:rFonts w:ascii="Palatino Linotype" w:hAnsi="Palatino Linotype"/>
                <w:sz w:val="24"/>
                <w:szCs w:val="24"/>
              </w:rPr>
            </w:pPr>
          </w:p>
        </w:tc>
        <w:tc>
          <w:tcPr>
            <w:tcW w:w="1185" w:type="pct"/>
          </w:tcPr>
          <w:p w:rsidR="00FB5F40" w:rsidRPr="00026244" w:rsidRDefault="00FB5F40" w:rsidP="00061907">
            <w:pPr>
              <w:pStyle w:val="TableText"/>
              <w:pBdr>
                <w:top w:val="sing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9,456</w:t>
            </w:r>
          </w:p>
        </w:tc>
        <w:tc>
          <w:tcPr>
            <w:tcW w:w="1186" w:type="pct"/>
          </w:tcPr>
          <w:p w:rsidR="00FB5F40" w:rsidRPr="00026244" w:rsidRDefault="00FB5F40" w:rsidP="00061907">
            <w:pPr>
              <w:pStyle w:val="TableText"/>
              <w:pBdr>
                <w:top w:val="sing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4,211</w:t>
            </w:r>
          </w:p>
        </w:tc>
      </w:tr>
      <w:tr w:rsidR="00FB5F40" w:rsidRPr="00026244" w:rsidTr="00061907">
        <w:trPr>
          <w:trHeight w:val="16"/>
        </w:trPr>
        <w:tc>
          <w:tcPr>
            <w:tcW w:w="2344" w:type="pct"/>
            <w:vAlign w:val="bottom"/>
          </w:tcPr>
          <w:p w:rsidR="00FB5F40" w:rsidRPr="00026244" w:rsidRDefault="00FB5F40" w:rsidP="00061907">
            <w:pPr>
              <w:pStyle w:val="TableText"/>
              <w:jc w:val="both"/>
              <w:rPr>
                <w:rFonts w:ascii="Palatino Linotype" w:hAnsi="Palatino Linotype" w:cs="Arial"/>
                <w:b/>
                <w:sz w:val="24"/>
                <w:szCs w:val="24"/>
                <w:lang w:eastAsia="en-US"/>
              </w:rPr>
            </w:pPr>
            <w:r w:rsidRPr="00026244">
              <w:rPr>
                <w:rStyle w:val="hps"/>
                <w:rFonts w:ascii="Palatino Linotype" w:hAnsi="Palatino Linotype" w:cs="Arial"/>
                <w:b/>
                <w:sz w:val="24"/>
                <w:szCs w:val="24"/>
                <w:lang w:eastAsia="en-US"/>
              </w:rPr>
              <w:t>Other comprehensive income</w:t>
            </w:r>
          </w:p>
        </w:tc>
        <w:tc>
          <w:tcPr>
            <w:tcW w:w="285" w:type="pct"/>
          </w:tcPr>
          <w:p w:rsidR="00FB5F40" w:rsidRPr="00026244" w:rsidRDefault="00FB5F40" w:rsidP="00061907">
            <w:pPr>
              <w:pStyle w:val="TableText"/>
              <w:jc w:val="center"/>
              <w:rPr>
                <w:rFonts w:ascii="Palatino Linotype" w:hAnsi="Palatino Linotype" w:cs="Arial"/>
                <w:sz w:val="24"/>
                <w:szCs w:val="24"/>
                <w:lang w:eastAsia="en-US"/>
              </w:rPr>
            </w:pPr>
          </w:p>
        </w:tc>
        <w:tc>
          <w:tcPr>
            <w:tcW w:w="1185" w:type="pct"/>
          </w:tcPr>
          <w:p w:rsidR="00FB5F40" w:rsidRPr="00026244" w:rsidRDefault="00FB5F40" w:rsidP="00061907">
            <w:pPr>
              <w:pStyle w:val="TableText"/>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627</w:t>
            </w:r>
          </w:p>
        </w:tc>
        <w:tc>
          <w:tcPr>
            <w:tcW w:w="1186" w:type="pct"/>
          </w:tcPr>
          <w:p w:rsidR="00FB5F40" w:rsidRPr="00026244" w:rsidRDefault="00FB5F40" w:rsidP="00061907">
            <w:pPr>
              <w:pStyle w:val="TableText"/>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564</w:t>
            </w:r>
          </w:p>
        </w:tc>
      </w:tr>
      <w:tr w:rsidR="00FB5F40" w:rsidRPr="00026244" w:rsidTr="00061907">
        <w:trPr>
          <w:trHeight w:val="16"/>
        </w:trPr>
        <w:tc>
          <w:tcPr>
            <w:tcW w:w="2344" w:type="pct"/>
            <w:tcBorders>
              <w:bottom w:val="single" w:sz="12" w:space="0" w:color="006600"/>
            </w:tcBorders>
            <w:vAlign w:val="bottom"/>
          </w:tcPr>
          <w:p w:rsidR="00FB5F40" w:rsidRPr="00026244" w:rsidRDefault="00FB5F40" w:rsidP="00061907">
            <w:pPr>
              <w:pStyle w:val="TableText"/>
              <w:jc w:val="both"/>
              <w:rPr>
                <w:rFonts w:ascii="Palatino Linotype" w:hAnsi="Palatino Linotype" w:cs="Arial"/>
                <w:b/>
                <w:sz w:val="24"/>
                <w:szCs w:val="24"/>
                <w:lang w:val="en-US" w:eastAsia="en-US"/>
              </w:rPr>
            </w:pPr>
            <w:proofErr w:type="spellStart"/>
            <w:r w:rsidRPr="00026244">
              <w:rPr>
                <w:rStyle w:val="hps"/>
                <w:rFonts w:ascii="Palatino Linotype" w:hAnsi="Palatino Linotype" w:cs="Arial"/>
                <w:b/>
                <w:sz w:val="24"/>
                <w:szCs w:val="24"/>
                <w:lang w:eastAsia="en-US"/>
              </w:rPr>
              <w:t>Totalcomprehensive</w:t>
            </w:r>
            <w:proofErr w:type="spellEnd"/>
            <w:r w:rsidRPr="00026244">
              <w:rPr>
                <w:rStyle w:val="hps"/>
                <w:rFonts w:ascii="Palatino Linotype" w:hAnsi="Palatino Linotype" w:cs="Arial"/>
                <w:b/>
                <w:sz w:val="24"/>
                <w:szCs w:val="24"/>
                <w:lang w:eastAsia="en-US"/>
              </w:rPr>
              <w:t xml:space="preserve"> income for </w:t>
            </w:r>
            <w:proofErr w:type="spellStart"/>
            <w:r w:rsidRPr="00026244">
              <w:rPr>
                <w:rStyle w:val="hps"/>
                <w:rFonts w:ascii="Palatino Linotype" w:hAnsi="Palatino Linotype" w:cs="Arial"/>
                <w:b/>
                <w:sz w:val="24"/>
                <w:szCs w:val="24"/>
                <w:lang w:eastAsia="en-US"/>
              </w:rPr>
              <w:t>theyear</w:t>
            </w:r>
            <w:proofErr w:type="spellEnd"/>
          </w:p>
        </w:tc>
        <w:tc>
          <w:tcPr>
            <w:tcW w:w="285" w:type="pct"/>
            <w:tcBorders>
              <w:bottom w:val="single" w:sz="12" w:space="0" w:color="006600"/>
            </w:tcBorders>
          </w:tcPr>
          <w:p w:rsidR="00FB5F40" w:rsidRPr="00026244" w:rsidRDefault="00FB5F40" w:rsidP="00061907">
            <w:pPr>
              <w:pStyle w:val="TableText"/>
              <w:jc w:val="center"/>
              <w:rPr>
                <w:rFonts w:ascii="Palatino Linotype" w:hAnsi="Palatino Linotype" w:cs="Arial"/>
                <w:sz w:val="24"/>
                <w:szCs w:val="24"/>
                <w:lang w:val="en-US" w:eastAsia="en-US"/>
              </w:rPr>
            </w:pPr>
          </w:p>
        </w:tc>
        <w:tc>
          <w:tcPr>
            <w:tcW w:w="1185" w:type="pct"/>
            <w:tcBorders>
              <w:bottom w:val="single" w:sz="12" w:space="0" w:color="006600"/>
            </w:tcBorders>
          </w:tcPr>
          <w:p w:rsidR="00FB5F40" w:rsidRPr="00026244" w:rsidRDefault="00FB5F40" w:rsidP="00061907">
            <w:pPr>
              <w:pStyle w:val="TableText"/>
              <w:pBdr>
                <w:top w:val="single" w:sz="4" w:space="1" w:color="auto"/>
                <w:bottom w:val="doub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10,083</w:t>
            </w:r>
          </w:p>
        </w:tc>
        <w:tc>
          <w:tcPr>
            <w:tcW w:w="1186" w:type="pct"/>
            <w:tcBorders>
              <w:bottom w:val="single" w:sz="12" w:space="0" w:color="006600"/>
            </w:tcBorders>
          </w:tcPr>
          <w:p w:rsidR="00FB5F40" w:rsidRPr="00026244" w:rsidRDefault="00FB5F40" w:rsidP="00061907">
            <w:pPr>
              <w:pStyle w:val="TableText"/>
              <w:pBdr>
                <w:top w:val="single" w:sz="4" w:space="1" w:color="auto"/>
                <w:bottom w:val="double" w:sz="4" w:space="1" w:color="auto"/>
              </w:pBdr>
              <w:ind w:right="93"/>
              <w:jc w:val="right"/>
              <w:rPr>
                <w:rFonts w:ascii="Palatino Linotype" w:hAnsi="Palatino Linotype" w:cs="Arial"/>
                <w:b/>
                <w:sz w:val="24"/>
                <w:szCs w:val="24"/>
                <w:lang w:eastAsia="en-US"/>
              </w:rPr>
            </w:pPr>
            <w:r w:rsidRPr="00026244">
              <w:rPr>
                <w:rFonts w:ascii="Palatino Linotype" w:hAnsi="Palatino Linotype" w:cs="Arial"/>
                <w:b/>
                <w:sz w:val="24"/>
                <w:szCs w:val="24"/>
                <w:lang w:eastAsia="en-US"/>
              </w:rPr>
              <w:t>4,775</w:t>
            </w:r>
          </w:p>
        </w:tc>
      </w:tr>
      <w:tr w:rsidR="00FB5F40" w:rsidRPr="00026244" w:rsidTr="00061907">
        <w:trPr>
          <w:tblHeader/>
        </w:trPr>
        <w:tc>
          <w:tcPr>
            <w:tcW w:w="2344" w:type="pct"/>
            <w:tcBorders>
              <w:top w:val="single" w:sz="12" w:space="0" w:color="006600"/>
            </w:tcBorders>
          </w:tcPr>
          <w:p w:rsidR="00FB5F40" w:rsidRPr="00026244" w:rsidRDefault="00FB5F40" w:rsidP="00061907">
            <w:pPr>
              <w:pStyle w:val="TableHeading"/>
              <w:tabs>
                <w:tab w:val="right" w:pos="4680"/>
              </w:tabs>
              <w:rPr>
                <w:rFonts w:ascii="Palatino Linotype" w:hAnsi="Palatino Linotype"/>
                <w:b w:val="0"/>
                <w:sz w:val="24"/>
                <w:szCs w:val="24"/>
              </w:rPr>
            </w:pPr>
          </w:p>
        </w:tc>
        <w:tc>
          <w:tcPr>
            <w:tcW w:w="285" w:type="pct"/>
            <w:tcBorders>
              <w:top w:val="single" w:sz="12" w:space="0" w:color="006600"/>
            </w:tcBorders>
            <w:vAlign w:val="bottom"/>
          </w:tcPr>
          <w:p w:rsidR="00FB5F40" w:rsidRPr="00026244" w:rsidRDefault="00FB5F40" w:rsidP="00061907">
            <w:pPr>
              <w:pStyle w:val="TableHeading"/>
              <w:jc w:val="center"/>
              <w:rPr>
                <w:rFonts w:ascii="Palatino Linotype" w:hAnsi="Palatino Linotype"/>
                <w:b w:val="0"/>
                <w:sz w:val="24"/>
                <w:szCs w:val="24"/>
              </w:rPr>
            </w:pPr>
          </w:p>
        </w:tc>
        <w:tc>
          <w:tcPr>
            <w:tcW w:w="1185" w:type="pct"/>
            <w:tcBorders>
              <w:top w:val="single" w:sz="12" w:space="0" w:color="006600"/>
            </w:tcBorders>
            <w:noWrap/>
            <w:vAlign w:val="bottom"/>
          </w:tcPr>
          <w:p w:rsidR="00FB5F40" w:rsidRPr="00026244" w:rsidRDefault="00FB5F40" w:rsidP="00061907">
            <w:pPr>
              <w:pStyle w:val="TableHeading"/>
              <w:ind w:right="93"/>
              <w:jc w:val="right"/>
              <w:rPr>
                <w:rFonts w:ascii="Palatino Linotype" w:hAnsi="Palatino Linotype"/>
                <w:sz w:val="24"/>
                <w:szCs w:val="24"/>
              </w:rPr>
            </w:pPr>
          </w:p>
        </w:tc>
        <w:tc>
          <w:tcPr>
            <w:tcW w:w="1186" w:type="pct"/>
            <w:tcBorders>
              <w:top w:val="single" w:sz="12" w:space="0" w:color="006600"/>
            </w:tcBorders>
            <w:noWrap/>
            <w:vAlign w:val="bottom"/>
          </w:tcPr>
          <w:p w:rsidR="00FB5F40" w:rsidRPr="00026244" w:rsidRDefault="00FB5F40" w:rsidP="00061907">
            <w:pPr>
              <w:pStyle w:val="TableHeading"/>
              <w:ind w:right="93"/>
              <w:jc w:val="right"/>
              <w:rPr>
                <w:rFonts w:ascii="Palatino Linotype" w:hAnsi="Palatino Linotype"/>
                <w:b w:val="0"/>
                <w:sz w:val="24"/>
                <w:szCs w:val="24"/>
              </w:rPr>
            </w:pPr>
          </w:p>
        </w:tc>
      </w:tr>
    </w:tbl>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766A11" w:rsidRPr="00026244" w:rsidRDefault="00766A11"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766A11">
      <w:pPr>
        <w:spacing w:after="0"/>
        <w:rPr>
          <w:rFonts w:ascii="Palatino Linotype" w:hAnsi="Palatino Linotype"/>
          <w:b/>
          <w:color w:val="003300"/>
          <w:sz w:val="32"/>
          <w:szCs w:val="32"/>
          <w:lang w:val="tg-Cyrl-TJ"/>
        </w:rPr>
      </w:pPr>
      <w:r w:rsidRPr="00026244">
        <w:rPr>
          <w:rFonts w:ascii="Palatino Linotype" w:hAnsi="Palatino Linotype"/>
          <w:b/>
          <w:color w:val="003300"/>
          <w:sz w:val="32"/>
          <w:szCs w:val="32"/>
          <w:lang w:val="tg-Cyrl-TJ"/>
        </w:rPr>
        <w:lastRenderedPageBreak/>
        <w:t>Отчет об изменениях в собственном капитале</w:t>
      </w:r>
    </w:p>
    <w:tbl>
      <w:tblPr>
        <w:tblW w:w="9664" w:type="dxa"/>
        <w:tblInd w:w="-142" w:type="dxa"/>
        <w:tblLayout w:type="fixed"/>
        <w:tblCellMar>
          <w:top w:w="28" w:type="dxa"/>
          <w:left w:w="0" w:type="dxa"/>
          <w:bottom w:w="28" w:type="dxa"/>
          <w:right w:w="0" w:type="dxa"/>
        </w:tblCellMar>
        <w:tblLook w:val="0000" w:firstRow="0" w:lastRow="0" w:firstColumn="0" w:lastColumn="0" w:noHBand="0" w:noVBand="0"/>
      </w:tblPr>
      <w:tblGrid>
        <w:gridCol w:w="3405"/>
        <w:gridCol w:w="1133"/>
        <w:gridCol w:w="1136"/>
        <w:gridCol w:w="1415"/>
        <w:gridCol w:w="1417"/>
        <w:gridCol w:w="1158"/>
      </w:tblGrid>
      <w:tr w:rsidR="00FB5F40" w:rsidRPr="00026244" w:rsidTr="00061907">
        <w:trPr>
          <w:tblHeader/>
        </w:trPr>
        <w:tc>
          <w:tcPr>
            <w:tcW w:w="1762" w:type="pct"/>
            <w:tcBorders>
              <w:top w:val="single" w:sz="12" w:space="0" w:color="006600"/>
              <w:bottom w:val="single" w:sz="12" w:space="0" w:color="006600"/>
            </w:tcBorders>
          </w:tcPr>
          <w:p w:rsidR="00FB5F40" w:rsidRPr="00026244" w:rsidRDefault="00FB5F40" w:rsidP="00061907">
            <w:pPr>
              <w:pStyle w:val="TableHeading"/>
              <w:rPr>
                <w:rFonts w:ascii="Palatino Linotype" w:hAnsi="Palatino Linotype"/>
                <w:sz w:val="20"/>
                <w:szCs w:val="20"/>
              </w:rPr>
            </w:pPr>
            <w:r w:rsidRPr="00026244">
              <w:rPr>
                <w:rFonts w:ascii="Palatino Linotype" w:hAnsi="Palatino Linotype"/>
                <w:bCs w:val="0"/>
                <w:sz w:val="20"/>
                <w:szCs w:val="20"/>
                <w:lang w:val="ru-RU"/>
              </w:rPr>
              <w:t xml:space="preserve">В тысячах таджикских </w:t>
            </w:r>
            <w:proofErr w:type="spellStart"/>
            <w:r w:rsidRPr="00026244">
              <w:rPr>
                <w:rFonts w:ascii="Palatino Linotype" w:hAnsi="Palatino Linotype"/>
                <w:bCs w:val="0"/>
                <w:sz w:val="20"/>
                <w:szCs w:val="20"/>
                <w:lang w:val="ru-RU"/>
              </w:rPr>
              <w:t>сомони</w:t>
            </w:r>
            <w:proofErr w:type="spellEnd"/>
          </w:p>
        </w:tc>
        <w:tc>
          <w:tcPr>
            <w:tcW w:w="586"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proofErr w:type="spellStart"/>
            <w:r w:rsidRPr="00026244">
              <w:rPr>
                <w:rFonts w:ascii="Palatino Linotype" w:hAnsi="Palatino Linotype"/>
                <w:bCs w:val="0"/>
                <w:sz w:val="20"/>
                <w:szCs w:val="20"/>
                <w:lang w:val="ru-RU"/>
              </w:rPr>
              <w:t>Акцио-нерный</w:t>
            </w:r>
            <w:proofErr w:type="spellEnd"/>
            <w:r w:rsidRPr="00026244">
              <w:rPr>
                <w:rFonts w:ascii="Palatino Linotype" w:hAnsi="Palatino Linotype"/>
                <w:bCs w:val="0"/>
                <w:sz w:val="20"/>
                <w:szCs w:val="20"/>
                <w:lang w:val="ru-RU"/>
              </w:rPr>
              <w:t xml:space="preserve"> капитал</w:t>
            </w:r>
          </w:p>
        </w:tc>
        <w:tc>
          <w:tcPr>
            <w:tcW w:w="588"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proofErr w:type="spellStart"/>
            <w:r w:rsidRPr="00026244">
              <w:rPr>
                <w:rFonts w:ascii="Palatino Linotype" w:hAnsi="Palatino Linotype"/>
                <w:bCs w:val="0"/>
                <w:sz w:val="20"/>
                <w:szCs w:val="20"/>
                <w:lang w:val="ru-RU"/>
              </w:rPr>
              <w:t>Главныйрезерв</w:t>
            </w:r>
            <w:proofErr w:type="spellEnd"/>
          </w:p>
        </w:tc>
        <w:tc>
          <w:tcPr>
            <w:tcW w:w="732"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lang w:val="ru-RU"/>
              </w:rPr>
            </w:pPr>
            <w:r w:rsidRPr="00026244">
              <w:rPr>
                <w:rFonts w:ascii="Palatino Linotype" w:hAnsi="Palatino Linotype"/>
                <w:bCs w:val="0"/>
                <w:sz w:val="20"/>
                <w:szCs w:val="20"/>
                <w:lang w:val="ru-RU"/>
              </w:rPr>
              <w:t>Резерв переоценки основных средств</w:t>
            </w:r>
          </w:p>
        </w:tc>
        <w:tc>
          <w:tcPr>
            <w:tcW w:w="733"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lang w:val="en-US"/>
              </w:rPr>
            </w:pPr>
            <w:proofErr w:type="spellStart"/>
            <w:r w:rsidRPr="00026244">
              <w:rPr>
                <w:rFonts w:ascii="Palatino Linotype" w:hAnsi="Palatino Linotype"/>
                <w:sz w:val="20"/>
                <w:szCs w:val="20"/>
                <w:lang w:val="ru-RU"/>
              </w:rPr>
              <w:t>Нераспре</w:t>
            </w:r>
            <w:proofErr w:type="spellEnd"/>
            <w:r w:rsidRPr="00026244">
              <w:rPr>
                <w:rFonts w:ascii="Palatino Linotype" w:hAnsi="Palatino Linotype"/>
                <w:sz w:val="20"/>
                <w:szCs w:val="20"/>
                <w:lang w:val="en-US"/>
              </w:rPr>
              <w:t>-</w:t>
            </w:r>
            <w:r w:rsidRPr="00026244">
              <w:rPr>
                <w:rFonts w:ascii="Palatino Linotype" w:hAnsi="Palatino Linotype"/>
                <w:sz w:val="20"/>
                <w:szCs w:val="20"/>
                <w:lang w:val="ru-RU"/>
              </w:rPr>
              <w:t xml:space="preserve"> деленная прибыль</w:t>
            </w:r>
          </w:p>
        </w:tc>
        <w:tc>
          <w:tcPr>
            <w:tcW w:w="599"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r w:rsidRPr="00026244">
              <w:rPr>
                <w:rFonts w:ascii="Palatino Linotype" w:hAnsi="Palatino Linotype"/>
                <w:sz w:val="20"/>
                <w:szCs w:val="20"/>
                <w:lang w:val="ru-RU"/>
              </w:rPr>
              <w:t>Итого</w:t>
            </w:r>
          </w:p>
        </w:tc>
      </w:tr>
      <w:tr w:rsidR="00FB5F40" w:rsidRPr="00026244" w:rsidTr="00061907">
        <w:trPr>
          <w:tblHeader/>
        </w:trPr>
        <w:tc>
          <w:tcPr>
            <w:tcW w:w="1762" w:type="pct"/>
            <w:tcBorders>
              <w:top w:val="single" w:sz="12" w:space="0" w:color="006600"/>
            </w:tcBorders>
            <w:noWrap/>
          </w:tcPr>
          <w:p w:rsidR="00FB5F40" w:rsidRPr="00026244" w:rsidRDefault="00FB5F40" w:rsidP="00061907">
            <w:pPr>
              <w:pStyle w:val="TableText"/>
              <w:jc w:val="both"/>
              <w:rPr>
                <w:rFonts w:ascii="Palatino Linotype" w:hAnsi="Palatino Linotype" w:cs="Arial"/>
                <w:b/>
                <w:sz w:val="20"/>
                <w:szCs w:val="20"/>
                <w:lang w:eastAsia="en-US"/>
              </w:rPr>
            </w:pPr>
          </w:p>
        </w:tc>
        <w:tc>
          <w:tcPr>
            <w:tcW w:w="586" w:type="pct"/>
            <w:tcBorders>
              <w:top w:val="single" w:sz="12" w:space="0" w:color="006600"/>
            </w:tcBorders>
          </w:tcPr>
          <w:p w:rsidR="00FB5F40" w:rsidRPr="00026244" w:rsidRDefault="00FB5F40" w:rsidP="00061907">
            <w:pPr>
              <w:pStyle w:val="TableText"/>
              <w:ind w:right="113"/>
              <w:jc w:val="both"/>
              <w:rPr>
                <w:rFonts w:ascii="Palatino Linotype" w:hAnsi="Palatino Linotype" w:cs="Arial"/>
                <w:b/>
                <w:sz w:val="20"/>
                <w:szCs w:val="20"/>
                <w:lang w:eastAsia="en-US"/>
              </w:rPr>
            </w:pPr>
          </w:p>
        </w:tc>
        <w:tc>
          <w:tcPr>
            <w:tcW w:w="588" w:type="pct"/>
            <w:tcBorders>
              <w:top w:val="single" w:sz="12" w:space="0" w:color="006600"/>
            </w:tcBorders>
          </w:tcPr>
          <w:p w:rsidR="00FB5F40" w:rsidRPr="00026244" w:rsidRDefault="00FB5F40" w:rsidP="00061907">
            <w:pPr>
              <w:pStyle w:val="TableText"/>
              <w:ind w:right="113"/>
              <w:jc w:val="both"/>
              <w:rPr>
                <w:rFonts w:ascii="Palatino Linotype" w:hAnsi="Palatino Linotype" w:cs="Arial"/>
                <w:b/>
                <w:sz w:val="20"/>
                <w:szCs w:val="20"/>
                <w:lang w:eastAsia="en-US"/>
              </w:rPr>
            </w:pPr>
          </w:p>
        </w:tc>
        <w:tc>
          <w:tcPr>
            <w:tcW w:w="732" w:type="pct"/>
            <w:tcBorders>
              <w:top w:val="single" w:sz="12" w:space="0" w:color="006600"/>
            </w:tcBorders>
          </w:tcPr>
          <w:p w:rsidR="00FB5F40" w:rsidRPr="00026244" w:rsidRDefault="00FB5F40" w:rsidP="00061907">
            <w:pPr>
              <w:pStyle w:val="TableText"/>
              <w:ind w:right="113"/>
              <w:jc w:val="both"/>
              <w:rPr>
                <w:rFonts w:ascii="Palatino Linotype" w:hAnsi="Palatino Linotype" w:cs="Arial"/>
                <w:b/>
                <w:sz w:val="20"/>
                <w:szCs w:val="20"/>
                <w:lang w:eastAsia="en-US"/>
              </w:rPr>
            </w:pPr>
          </w:p>
        </w:tc>
        <w:tc>
          <w:tcPr>
            <w:tcW w:w="733" w:type="pct"/>
            <w:tcBorders>
              <w:top w:val="single" w:sz="12" w:space="0" w:color="006600"/>
            </w:tcBorders>
          </w:tcPr>
          <w:p w:rsidR="00FB5F40" w:rsidRPr="00026244" w:rsidRDefault="00FB5F40" w:rsidP="00061907">
            <w:pPr>
              <w:pStyle w:val="TableText"/>
              <w:ind w:right="113"/>
              <w:jc w:val="both"/>
              <w:rPr>
                <w:rFonts w:ascii="Palatino Linotype" w:hAnsi="Palatino Linotype" w:cs="Arial"/>
                <w:b/>
                <w:sz w:val="20"/>
                <w:szCs w:val="20"/>
                <w:lang w:eastAsia="en-US"/>
              </w:rPr>
            </w:pPr>
          </w:p>
        </w:tc>
        <w:tc>
          <w:tcPr>
            <w:tcW w:w="599" w:type="pct"/>
            <w:tcBorders>
              <w:top w:val="single" w:sz="12" w:space="0" w:color="006600"/>
            </w:tcBorders>
          </w:tcPr>
          <w:p w:rsidR="00FB5F40" w:rsidRPr="00026244" w:rsidRDefault="00FB5F40" w:rsidP="00061907">
            <w:pPr>
              <w:pStyle w:val="TableText"/>
              <w:ind w:right="113"/>
              <w:jc w:val="both"/>
              <w:rPr>
                <w:rFonts w:ascii="Palatino Linotype" w:hAnsi="Palatino Linotype" w:cs="Arial"/>
                <w:b/>
                <w:sz w:val="20"/>
                <w:szCs w:val="20"/>
                <w:lang w:eastAsia="en-US"/>
              </w:rPr>
            </w:pPr>
          </w:p>
        </w:tc>
      </w:tr>
      <w:tr w:rsidR="00FB5F40" w:rsidRPr="00026244" w:rsidTr="00221B82">
        <w:trPr>
          <w:tblHeader/>
        </w:trPr>
        <w:tc>
          <w:tcPr>
            <w:tcW w:w="1762" w:type="pct"/>
            <w:noWrap/>
          </w:tcPr>
          <w:p w:rsidR="00FB5F40" w:rsidRPr="00026244" w:rsidRDefault="00FB5F40" w:rsidP="00061907">
            <w:pPr>
              <w:pStyle w:val="TableText"/>
              <w:rPr>
                <w:rFonts w:ascii="Palatino Linotype" w:hAnsi="Palatino Linotype" w:cs="Arial"/>
                <w:b/>
                <w:sz w:val="20"/>
                <w:szCs w:val="20"/>
                <w:lang w:val="en-US" w:eastAsia="en-US"/>
              </w:rPr>
            </w:pPr>
            <w:r w:rsidRPr="00026244">
              <w:rPr>
                <w:rFonts w:ascii="Palatino Linotype" w:hAnsi="Palatino Linotype" w:cs="Arial"/>
                <w:b/>
                <w:sz w:val="20"/>
                <w:szCs w:val="20"/>
                <w:lang w:val="ru-RU" w:eastAsia="en-US"/>
              </w:rPr>
              <w:t>Остаток на 1 января 2010 года</w:t>
            </w:r>
          </w:p>
        </w:tc>
        <w:tc>
          <w:tcPr>
            <w:tcW w:w="586"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18,435</w:t>
            </w:r>
          </w:p>
        </w:tc>
        <w:tc>
          <w:tcPr>
            <w:tcW w:w="588"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8,400</w:t>
            </w:r>
          </w:p>
        </w:tc>
        <w:tc>
          <w:tcPr>
            <w:tcW w:w="732"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39,000</w:t>
            </w:r>
          </w:p>
        </w:tc>
        <w:tc>
          <w:tcPr>
            <w:tcW w:w="733"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32,889</w:t>
            </w:r>
          </w:p>
        </w:tc>
        <w:tc>
          <w:tcPr>
            <w:tcW w:w="599"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98,724</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eastAsia="en-US"/>
              </w:rPr>
            </w:pPr>
          </w:p>
        </w:tc>
        <w:tc>
          <w:tcPr>
            <w:tcW w:w="586" w:type="pct"/>
          </w:tcPr>
          <w:p w:rsidR="00FB5F40" w:rsidRPr="00026244" w:rsidRDefault="00FB5F40" w:rsidP="00061907">
            <w:pPr>
              <w:pStyle w:val="TableText"/>
              <w:tabs>
                <w:tab w:val="decimal" w:pos="1006"/>
              </w:tabs>
              <w:ind w:right="113"/>
              <w:jc w:val="right"/>
              <w:rPr>
                <w:rFonts w:ascii="Palatino Linotype" w:hAnsi="Palatino Linotype" w:cs="Arial"/>
                <w:sz w:val="20"/>
                <w:szCs w:val="20"/>
                <w:lang w:eastAsia="en-US"/>
              </w:rPr>
            </w:pPr>
          </w:p>
        </w:tc>
        <w:tc>
          <w:tcPr>
            <w:tcW w:w="588" w:type="pct"/>
          </w:tcPr>
          <w:p w:rsidR="00FB5F40" w:rsidRPr="00026244" w:rsidRDefault="00FB5F40" w:rsidP="00061907">
            <w:pPr>
              <w:pStyle w:val="TableText"/>
              <w:tabs>
                <w:tab w:val="decimal" w:pos="1006"/>
              </w:tabs>
              <w:ind w:right="113"/>
              <w:jc w:val="right"/>
              <w:rPr>
                <w:rFonts w:ascii="Palatino Linotype" w:hAnsi="Palatino Linotype" w:cs="Arial"/>
                <w:sz w:val="20"/>
                <w:szCs w:val="20"/>
                <w:lang w:eastAsia="en-US"/>
              </w:rPr>
            </w:pPr>
          </w:p>
        </w:tc>
        <w:tc>
          <w:tcPr>
            <w:tcW w:w="732" w:type="pct"/>
          </w:tcPr>
          <w:p w:rsidR="00FB5F40" w:rsidRPr="00026244" w:rsidRDefault="00FB5F40" w:rsidP="00061907">
            <w:pPr>
              <w:pStyle w:val="TableText"/>
              <w:tabs>
                <w:tab w:val="decimal" w:pos="1006"/>
              </w:tabs>
              <w:ind w:right="113"/>
              <w:jc w:val="right"/>
              <w:rPr>
                <w:rFonts w:ascii="Palatino Linotype" w:hAnsi="Palatino Linotype" w:cs="Arial"/>
                <w:sz w:val="20"/>
                <w:szCs w:val="20"/>
                <w:lang w:eastAsia="en-US"/>
              </w:rPr>
            </w:pPr>
          </w:p>
        </w:tc>
        <w:tc>
          <w:tcPr>
            <w:tcW w:w="733" w:type="pct"/>
          </w:tcPr>
          <w:p w:rsidR="00FB5F40" w:rsidRPr="00026244" w:rsidRDefault="00FB5F40" w:rsidP="00061907">
            <w:pPr>
              <w:pStyle w:val="TableText"/>
              <w:tabs>
                <w:tab w:val="decimal" w:pos="1006"/>
              </w:tabs>
              <w:ind w:right="113"/>
              <w:jc w:val="right"/>
              <w:rPr>
                <w:rFonts w:ascii="Palatino Linotype" w:hAnsi="Palatino Linotype" w:cs="Arial"/>
                <w:sz w:val="20"/>
                <w:szCs w:val="20"/>
                <w:lang w:eastAsia="en-US"/>
              </w:rPr>
            </w:pPr>
          </w:p>
        </w:tc>
        <w:tc>
          <w:tcPr>
            <w:tcW w:w="599" w:type="pct"/>
          </w:tcPr>
          <w:p w:rsidR="00FB5F40" w:rsidRPr="00026244" w:rsidRDefault="00FB5F40" w:rsidP="00061907">
            <w:pPr>
              <w:pStyle w:val="TableText"/>
              <w:ind w:right="113"/>
              <w:jc w:val="right"/>
              <w:rPr>
                <w:rFonts w:ascii="Palatino Linotype" w:hAnsi="Palatino Linotype" w:cs="Arial"/>
                <w:sz w:val="20"/>
                <w:szCs w:val="20"/>
                <w:lang w:eastAsia="en-US"/>
              </w:rPr>
            </w:pP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en-US" w:eastAsia="en-US"/>
              </w:rPr>
            </w:pPr>
            <w:r w:rsidRPr="00026244">
              <w:rPr>
                <w:rFonts w:ascii="Palatino Linotype" w:hAnsi="Palatino Linotype" w:cs="Arial"/>
                <w:sz w:val="20"/>
                <w:szCs w:val="20"/>
                <w:lang w:val="ru-RU" w:eastAsia="en-US"/>
              </w:rPr>
              <w:t>Увеличение акционерного капитала</w:t>
            </w:r>
          </w:p>
          <w:p w:rsidR="00FB5F40" w:rsidRPr="00026244" w:rsidRDefault="00FB5F40" w:rsidP="00061907">
            <w:pPr>
              <w:pStyle w:val="TableText"/>
              <w:rPr>
                <w:rFonts w:ascii="Palatino Linotype" w:hAnsi="Palatino Linotype" w:cs="Arial"/>
                <w:sz w:val="20"/>
                <w:szCs w:val="20"/>
                <w:lang w:val="en-US" w:eastAsia="en-US"/>
              </w:rPr>
            </w:pPr>
          </w:p>
        </w:tc>
        <w:tc>
          <w:tcPr>
            <w:tcW w:w="586"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6,000</w:t>
            </w:r>
          </w:p>
        </w:tc>
        <w:tc>
          <w:tcPr>
            <w:tcW w:w="588"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32"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33"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599"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6,000</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eastAsia="en-US"/>
              </w:rPr>
            </w:pPr>
            <w:proofErr w:type="spellStart"/>
            <w:r w:rsidRPr="00026244">
              <w:rPr>
                <w:rFonts w:ascii="Palatino Linotype" w:hAnsi="Palatino Linotype" w:cs="Arial"/>
                <w:sz w:val="20"/>
                <w:szCs w:val="20"/>
                <w:lang w:eastAsia="en-US"/>
              </w:rPr>
              <w:t>Операции</w:t>
            </w:r>
            <w:proofErr w:type="spellEnd"/>
            <w:r w:rsidRPr="00026244">
              <w:rPr>
                <w:rFonts w:ascii="Palatino Linotype" w:hAnsi="Palatino Linotype" w:cs="Arial"/>
                <w:sz w:val="20"/>
                <w:szCs w:val="20"/>
                <w:lang w:eastAsia="en-US"/>
              </w:rPr>
              <w:t xml:space="preserve"> с </w:t>
            </w:r>
            <w:proofErr w:type="spellStart"/>
            <w:r w:rsidRPr="00026244">
              <w:rPr>
                <w:rFonts w:ascii="Palatino Linotype" w:hAnsi="Palatino Linotype" w:cs="Arial"/>
                <w:sz w:val="20"/>
                <w:szCs w:val="20"/>
                <w:lang w:eastAsia="en-US"/>
              </w:rPr>
              <w:t>собственниками</w:t>
            </w:r>
            <w:proofErr w:type="spellEnd"/>
          </w:p>
        </w:tc>
        <w:tc>
          <w:tcPr>
            <w:tcW w:w="586" w:type="pct"/>
          </w:tcPr>
          <w:p w:rsidR="00FB5F40" w:rsidRPr="00026244" w:rsidRDefault="00FB5F40" w:rsidP="00061907">
            <w:pPr>
              <w:pStyle w:val="TableText"/>
              <w:pBdr>
                <w:top w:val="single" w:sz="4" w:space="1" w:color="auto"/>
              </w:pBdr>
              <w:tabs>
                <w:tab w:val="decimal" w:pos="1006"/>
              </w:tabs>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6,000</w:t>
            </w:r>
          </w:p>
        </w:tc>
        <w:tc>
          <w:tcPr>
            <w:tcW w:w="588" w:type="pct"/>
          </w:tcPr>
          <w:p w:rsidR="00FB5F40" w:rsidRPr="00026244" w:rsidRDefault="00FB5F40" w:rsidP="00061907">
            <w:pPr>
              <w:pStyle w:val="TableText"/>
              <w:pBdr>
                <w:top w:val="single" w:sz="4" w:space="1" w:color="auto"/>
              </w:pBdr>
              <w:tabs>
                <w:tab w:val="decimal" w:pos="1006"/>
              </w:tabs>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32" w:type="pct"/>
          </w:tcPr>
          <w:p w:rsidR="00FB5F40" w:rsidRPr="00026244" w:rsidRDefault="00FB5F40" w:rsidP="00061907">
            <w:pPr>
              <w:pStyle w:val="TableText"/>
              <w:pBdr>
                <w:top w:val="sing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33" w:type="pct"/>
          </w:tcPr>
          <w:p w:rsidR="00FB5F40" w:rsidRPr="00026244" w:rsidRDefault="00FB5F40" w:rsidP="00061907">
            <w:pPr>
              <w:pStyle w:val="TableText"/>
              <w:pBdr>
                <w:top w:val="sing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599" w:type="pct"/>
          </w:tcPr>
          <w:p w:rsidR="00FB5F40" w:rsidRPr="00026244" w:rsidRDefault="00FB5F40" w:rsidP="00061907">
            <w:pPr>
              <w:pStyle w:val="TableText"/>
              <w:pBdr>
                <w:top w:val="single" w:sz="4"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6,000</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p>
        </w:tc>
        <w:tc>
          <w:tcPr>
            <w:tcW w:w="586"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588"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732"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733"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599" w:type="pct"/>
          </w:tcPr>
          <w:p w:rsidR="00FB5F40" w:rsidRPr="00026244" w:rsidRDefault="00FB5F40" w:rsidP="00061907">
            <w:pPr>
              <w:pStyle w:val="TableText"/>
              <w:ind w:right="113"/>
              <w:jc w:val="right"/>
              <w:rPr>
                <w:rFonts w:ascii="Palatino Linotype" w:hAnsi="Palatino Linotype" w:cs="Arial"/>
                <w:sz w:val="20"/>
                <w:szCs w:val="20"/>
                <w:lang w:eastAsia="en-US"/>
              </w:rPr>
            </w:pP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w:sz w:val="20"/>
                <w:szCs w:val="20"/>
                <w:lang w:val="ru-RU" w:eastAsia="en-US"/>
              </w:rPr>
              <w:t>Прибыль за год</w:t>
            </w:r>
          </w:p>
        </w:tc>
        <w:tc>
          <w:tcPr>
            <w:tcW w:w="586"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588"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32"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33"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4,211</w:t>
            </w:r>
          </w:p>
        </w:tc>
        <w:tc>
          <w:tcPr>
            <w:tcW w:w="599"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4,211</w:t>
            </w:r>
          </w:p>
        </w:tc>
      </w:tr>
      <w:tr w:rsidR="00FB5F40" w:rsidRPr="00026244" w:rsidTr="00221B82">
        <w:tc>
          <w:tcPr>
            <w:tcW w:w="1762" w:type="pct"/>
            <w:noWrap/>
            <w:vAlign w:val="bottom"/>
          </w:tcPr>
          <w:p w:rsidR="00FB5F40" w:rsidRPr="00026244" w:rsidRDefault="00FB5F40" w:rsidP="00061907">
            <w:pPr>
              <w:pStyle w:val="TableText"/>
              <w:rPr>
                <w:rFonts w:ascii="Palatino Linotype" w:hAnsi="Palatino Linotype" w:cs="Arial"/>
                <w:b/>
                <w:sz w:val="20"/>
                <w:szCs w:val="20"/>
                <w:lang w:eastAsia="en-US"/>
              </w:rPr>
            </w:pPr>
            <w:proofErr w:type="spellStart"/>
            <w:r w:rsidRPr="00026244">
              <w:rPr>
                <w:rFonts w:ascii="Palatino Linotype" w:hAnsi="Palatino Linotype" w:cs="Arial"/>
                <w:b/>
                <w:sz w:val="20"/>
                <w:szCs w:val="20"/>
                <w:lang w:eastAsia="en-US"/>
              </w:rPr>
              <w:t>Прочийсовокупныйдоход</w:t>
            </w:r>
            <w:proofErr w:type="spellEnd"/>
          </w:p>
        </w:tc>
        <w:tc>
          <w:tcPr>
            <w:tcW w:w="586"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588"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732"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733"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599" w:type="pct"/>
          </w:tcPr>
          <w:p w:rsidR="00FB5F40" w:rsidRPr="00026244" w:rsidRDefault="00FB5F40" w:rsidP="00061907">
            <w:pPr>
              <w:pStyle w:val="TableText"/>
              <w:ind w:right="113"/>
              <w:jc w:val="right"/>
              <w:rPr>
                <w:rFonts w:ascii="Palatino Linotype" w:hAnsi="Palatino Linotype" w:cs="Arial"/>
                <w:sz w:val="20"/>
                <w:szCs w:val="20"/>
                <w:lang w:eastAsia="en-US"/>
              </w:rPr>
            </w:pP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CYR"/>
                <w:sz w:val="20"/>
                <w:szCs w:val="20"/>
                <w:lang w:val="ru-RU" w:eastAsia="en-US"/>
              </w:rPr>
              <w:t xml:space="preserve">Перенос переоценки основных </w:t>
            </w:r>
            <w:proofErr w:type="spellStart"/>
            <w:r w:rsidRPr="00026244">
              <w:rPr>
                <w:rFonts w:ascii="Palatino Linotype" w:hAnsi="Palatino Linotype" w:cs="Arial CYR"/>
                <w:sz w:val="20"/>
                <w:szCs w:val="20"/>
                <w:lang w:val="ru-RU" w:eastAsia="en-US"/>
              </w:rPr>
              <w:t>средсв</w:t>
            </w:r>
            <w:proofErr w:type="spellEnd"/>
            <w:r w:rsidRPr="00026244">
              <w:rPr>
                <w:rFonts w:ascii="Palatino Linotype" w:hAnsi="Palatino Linotype" w:cs="Arial CYR"/>
                <w:sz w:val="20"/>
                <w:szCs w:val="20"/>
                <w:lang w:val="ru-RU" w:eastAsia="en-US"/>
              </w:rPr>
              <w:t xml:space="preserve"> в нераспределенную </w:t>
            </w:r>
            <w:proofErr w:type="spellStart"/>
            <w:r w:rsidRPr="00026244">
              <w:rPr>
                <w:rFonts w:ascii="Palatino Linotype" w:hAnsi="Palatino Linotype" w:cs="Arial CYR"/>
                <w:sz w:val="20"/>
                <w:szCs w:val="20"/>
                <w:lang w:val="ru-RU" w:eastAsia="en-US"/>
              </w:rPr>
              <w:t>прибиль</w:t>
            </w:r>
            <w:proofErr w:type="spellEnd"/>
          </w:p>
        </w:tc>
        <w:tc>
          <w:tcPr>
            <w:tcW w:w="586"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c>
          <w:tcPr>
            <w:tcW w:w="588"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c>
          <w:tcPr>
            <w:tcW w:w="732"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(1,027)</w:t>
            </w:r>
          </w:p>
        </w:tc>
        <w:tc>
          <w:tcPr>
            <w:tcW w:w="733"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1,027</w:t>
            </w:r>
          </w:p>
        </w:tc>
        <w:tc>
          <w:tcPr>
            <w:tcW w:w="599"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CYR"/>
                <w:sz w:val="20"/>
                <w:szCs w:val="20"/>
                <w:lang w:val="ru-RU" w:eastAsia="en-US"/>
              </w:rPr>
            </w:pPr>
            <w:r w:rsidRPr="00026244">
              <w:rPr>
                <w:rFonts w:ascii="Palatino Linotype" w:hAnsi="Palatino Linotype" w:cs="Arial CYR"/>
                <w:sz w:val="20"/>
                <w:szCs w:val="20"/>
                <w:lang w:val="ru-RU" w:eastAsia="en-US"/>
              </w:rPr>
              <w:t>Отложенное налоговое обязательство от переоценки основных средств</w:t>
            </w:r>
          </w:p>
        </w:tc>
        <w:tc>
          <w:tcPr>
            <w:tcW w:w="586"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c>
          <w:tcPr>
            <w:tcW w:w="588"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c>
          <w:tcPr>
            <w:tcW w:w="732"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564</w:t>
            </w:r>
          </w:p>
        </w:tc>
        <w:tc>
          <w:tcPr>
            <w:tcW w:w="733"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c>
          <w:tcPr>
            <w:tcW w:w="599" w:type="pct"/>
          </w:tcPr>
          <w:p w:rsidR="00FB5F40" w:rsidRPr="00026244" w:rsidRDefault="00FB5F40" w:rsidP="00061907">
            <w:pPr>
              <w:pStyle w:val="TableText"/>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564</w:t>
            </w:r>
          </w:p>
        </w:tc>
      </w:tr>
      <w:tr w:rsidR="00FB5F40" w:rsidRPr="00026244" w:rsidTr="00221B82">
        <w:trPr>
          <w:trHeight w:val="452"/>
        </w:trPr>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w:sz w:val="20"/>
                <w:szCs w:val="20"/>
                <w:lang w:val="ru-RU" w:eastAsia="en-US"/>
              </w:rPr>
              <w:t>Всего совокупный доход за год</w:t>
            </w:r>
          </w:p>
        </w:tc>
        <w:tc>
          <w:tcPr>
            <w:tcW w:w="586" w:type="pct"/>
          </w:tcPr>
          <w:p w:rsidR="00FB5F40" w:rsidRPr="00026244" w:rsidRDefault="00FB5F40" w:rsidP="00061907">
            <w:pPr>
              <w:pStyle w:val="TableText"/>
              <w:pBdr>
                <w:top w:val="single" w:sz="4" w:space="0" w:color="auto"/>
              </w:pBdr>
              <w:tabs>
                <w:tab w:val="decimal" w:pos="1006"/>
              </w:tabs>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c>
          <w:tcPr>
            <w:tcW w:w="588" w:type="pct"/>
          </w:tcPr>
          <w:p w:rsidR="00FB5F40" w:rsidRPr="00026244" w:rsidRDefault="00FB5F40" w:rsidP="00061907">
            <w:pPr>
              <w:pStyle w:val="TableText"/>
              <w:pBdr>
                <w:top w:val="single" w:sz="4" w:space="0" w:color="auto"/>
              </w:pBdr>
              <w:tabs>
                <w:tab w:val="decimal" w:pos="1006"/>
              </w:tabs>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w:t>
            </w:r>
          </w:p>
        </w:tc>
        <w:tc>
          <w:tcPr>
            <w:tcW w:w="732" w:type="pct"/>
          </w:tcPr>
          <w:p w:rsidR="00FB5F40" w:rsidRPr="00026244" w:rsidRDefault="00FB5F40" w:rsidP="00061907">
            <w:pPr>
              <w:pStyle w:val="TableText"/>
              <w:pBdr>
                <w:top w:val="single" w:sz="4" w:space="0" w:color="auto"/>
              </w:pBdr>
              <w:tabs>
                <w:tab w:val="decimal" w:pos="1006"/>
              </w:tabs>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(463)</w:t>
            </w:r>
          </w:p>
        </w:tc>
        <w:tc>
          <w:tcPr>
            <w:tcW w:w="733" w:type="pct"/>
          </w:tcPr>
          <w:p w:rsidR="00FB5F40" w:rsidRPr="00026244" w:rsidRDefault="00FB5F40" w:rsidP="00061907">
            <w:pPr>
              <w:pStyle w:val="TableText"/>
              <w:pBdr>
                <w:top w:val="single" w:sz="4" w:space="0" w:color="auto"/>
              </w:pBdr>
              <w:tabs>
                <w:tab w:val="decimal" w:pos="1006"/>
              </w:tabs>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5,238</w:t>
            </w:r>
          </w:p>
        </w:tc>
        <w:tc>
          <w:tcPr>
            <w:tcW w:w="599" w:type="pct"/>
          </w:tcPr>
          <w:p w:rsidR="00FB5F40" w:rsidRPr="00026244" w:rsidRDefault="00FB5F40" w:rsidP="00061907">
            <w:pPr>
              <w:pStyle w:val="TableText"/>
              <w:pBdr>
                <w:top w:val="single" w:sz="4" w:space="0" w:color="auto"/>
              </w:pBdr>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4,775</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en-US" w:eastAsia="en-US"/>
              </w:rPr>
            </w:pPr>
            <w:r w:rsidRPr="00026244">
              <w:rPr>
                <w:rFonts w:ascii="Palatino Linotype" w:hAnsi="Palatino Linotype" w:cs="Arial"/>
                <w:b/>
                <w:sz w:val="20"/>
                <w:szCs w:val="20"/>
                <w:lang w:val="ru-RU" w:eastAsia="en-US"/>
              </w:rPr>
              <w:t>Остаток на 31 декабря 2010 года</w:t>
            </w:r>
          </w:p>
        </w:tc>
        <w:tc>
          <w:tcPr>
            <w:tcW w:w="586"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24,435</w:t>
            </w:r>
          </w:p>
        </w:tc>
        <w:tc>
          <w:tcPr>
            <w:tcW w:w="588"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8,400</w:t>
            </w:r>
          </w:p>
        </w:tc>
        <w:tc>
          <w:tcPr>
            <w:tcW w:w="732"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38,537</w:t>
            </w:r>
          </w:p>
        </w:tc>
        <w:tc>
          <w:tcPr>
            <w:tcW w:w="733"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38,127</w:t>
            </w:r>
          </w:p>
        </w:tc>
        <w:tc>
          <w:tcPr>
            <w:tcW w:w="599"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sz w:val="20"/>
                <w:szCs w:val="20"/>
                <w:lang w:val="en-US" w:eastAsia="en-US"/>
              </w:rPr>
            </w:pPr>
            <w:r w:rsidRPr="00026244">
              <w:rPr>
                <w:rFonts w:ascii="Palatino Linotype" w:hAnsi="Palatino Linotype" w:cs="Arial"/>
                <w:sz w:val="20"/>
                <w:szCs w:val="20"/>
                <w:lang w:val="en-US" w:eastAsia="en-US"/>
              </w:rPr>
              <w:t>109,499</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p>
        </w:tc>
        <w:tc>
          <w:tcPr>
            <w:tcW w:w="586" w:type="pct"/>
          </w:tcPr>
          <w:p w:rsidR="00FB5F40" w:rsidRPr="00026244" w:rsidRDefault="00FB5F40" w:rsidP="00061907">
            <w:pPr>
              <w:pStyle w:val="TableText"/>
              <w:ind w:right="113"/>
              <w:jc w:val="right"/>
              <w:rPr>
                <w:rFonts w:ascii="Palatino Linotype" w:hAnsi="Palatino Linotype" w:cs="Arial"/>
                <w:sz w:val="20"/>
                <w:szCs w:val="20"/>
                <w:lang w:val="ru-RU" w:eastAsia="en-US"/>
              </w:rPr>
            </w:pPr>
          </w:p>
        </w:tc>
        <w:tc>
          <w:tcPr>
            <w:tcW w:w="588" w:type="pct"/>
          </w:tcPr>
          <w:p w:rsidR="00FB5F40" w:rsidRPr="00026244" w:rsidRDefault="00FB5F40" w:rsidP="00061907">
            <w:pPr>
              <w:pStyle w:val="TableText"/>
              <w:ind w:right="113"/>
              <w:jc w:val="right"/>
              <w:rPr>
                <w:rFonts w:ascii="Palatino Linotype" w:hAnsi="Palatino Linotype" w:cs="Arial"/>
                <w:sz w:val="20"/>
                <w:szCs w:val="20"/>
                <w:lang w:val="ru-RU" w:eastAsia="en-US"/>
              </w:rPr>
            </w:pPr>
          </w:p>
        </w:tc>
        <w:tc>
          <w:tcPr>
            <w:tcW w:w="732" w:type="pct"/>
          </w:tcPr>
          <w:p w:rsidR="00FB5F40" w:rsidRPr="00026244" w:rsidRDefault="00FB5F40" w:rsidP="00061907">
            <w:pPr>
              <w:pStyle w:val="TableText"/>
              <w:ind w:right="113"/>
              <w:jc w:val="right"/>
              <w:rPr>
                <w:rFonts w:ascii="Palatino Linotype" w:hAnsi="Palatino Linotype" w:cs="Arial"/>
                <w:sz w:val="20"/>
                <w:szCs w:val="20"/>
                <w:lang w:val="ru-RU" w:eastAsia="en-US"/>
              </w:rPr>
            </w:pPr>
          </w:p>
        </w:tc>
        <w:tc>
          <w:tcPr>
            <w:tcW w:w="733" w:type="pct"/>
          </w:tcPr>
          <w:p w:rsidR="00FB5F40" w:rsidRPr="00026244" w:rsidRDefault="00FB5F40" w:rsidP="00061907">
            <w:pPr>
              <w:pStyle w:val="TableText"/>
              <w:ind w:right="113"/>
              <w:jc w:val="right"/>
              <w:rPr>
                <w:rFonts w:ascii="Palatino Linotype" w:hAnsi="Palatino Linotype" w:cs="Arial"/>
                <w:sz w:val="20"/>
                <w:szCs w:val="20"/>
                <w:lang w:val="ru-RU" w:eastAsia="en-US"/>
              </w:rPr>
            </w:pPr>
          </w:p>
        </w:tc>
        <w:tc>
          <w:tcPr>
            <w:tcW w:w="599" w:type="pct"/>
          </w:tcPr>
          <w:p w:rsidR="00FB5F40" w:rsidRPr="00026244" w:rsidRDefault="00FB5F40" w:rsidP="00061907">
            <w:pPr>
              <w:pStyle w:val="TableText"/>
              <w:ind w:right="113"/>
              <w:jc w:val="right"/>
              <w:rPr>
                <w:rFonts w:ascii="Palatino Linotype" w:hAnsi="Palatino Linotype" w:cs="Arial"/>
                <w:sz w:val="20"/>
                <w:szCs w:val="20"/>
                <w:lang w:val="ru-RU" w:eastAsia="en-US"/>
              </w:rPr>
            </w:pP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w:sz w:val="20"/>
                <w:szCs w:val="20"/>
                <w:lang w:val="ru-RU" w:eastAsia="en-US"/>
              </w:rPr>
              <w:t>Увеличение акционерного капитала</w:t>
            </w:r>
          </w:p>
        </w:tc>
        <w:tc>
          <w:tcPr>
            <w:tcW w:w="586" w:type="pct"/>
          </w:tcPr>
          <w:p w:rsidR="00FB5F40" w:rsidRPr="00026244" w:rsidRDefault="00FB5F40" w:rsidP="00061907">
            <w:pPr>
              <w:pStyle w:val="TableText"/>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6,000</w:t>
            </w:r>
          </w:p>
        </w:tc>
        <w:tc>
          <w:tcPr>
            <w:tcW w:w="588" w:type="pct"/>
          </w:tcPr>
          <w:p w:rsidR="00FB5F40" w:rsidRPr="00026244" w:rsidRDefault="00FB5F40" w:rsidP="00061907">
            <w:pPr>
              <w:pStyle w:val="TableText"/>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w:t>
            </w:r>
          </w:p>
        </w:tc>
        <w:tc>
          <w:tcPr>
            <w:tcW w:w="732" w:type="pct"/>
          </w:tcPr>
          <w:p w:rsidR="00FB5F40" w:rsidRPr="00026244" w:rsidRDefault="00FB5F40" w:rsidP="00061907">
            <w:pPr>
              <w:pStyle w:val="TableText"/>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w:t>
            </w:r>
          </w:p>
        </w:tc>
        <w:tc>
          <w:tcPr>
            <w:tcW w:w="733" w:type="pct"/>
          </w:tcPr>
          <w:p w:rsidR="00FB5F40" w:rsidRPr="00026244" w:rsidRDefault="00FB5F40" w:rsidP="00061907">
            <w:pPr>
              <w:pStyle w:val="TableText"/>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w:t>
            </w:r>
          </w:p>
        </w:tc>
        <w:tc>
          <w:tcPr>
            <w:tcW w:w="599" w:type="pct"/>
          </w:tcPr>
          <w:p w:rsidR="00FB5F40" w:rsidRPr="00026244" w:rsidRDefault="00FB5F40" w:rsidP="00061907">
            <w:pPr>
              <w:pStyle w:val="TableText"/>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6,000</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en-US" w:eastAsia="en-US"/>
              </w:rPr>
            </w:pPr>
            <w:proofErr w:type="spellStart"/>
            <w:r w:rsidRPr="00026244">
              <w:rPr>
                <w:rFonts w:ascii="Palatino Linotype" w:hAnsi="Palatino Linotype" w:cs="Arial"/>
                <w:sz w:val="20"/>
                <w:szCs w:val="20"/>
                <w:lang w:eastAsia="en-US"/>
              </w:rPr>
              <w:t>Операции</w:t>
            </w:r>
            <w:proofErr w:type="spellEnd"/>
            <w:r w:rsidRPr="00026244">
              <w:rPr>
                <w:rFonts w:ascii="Palatino Linotype" w:hAnsi="Palatino Linotype" w:cs="Arial"/>
                <w:sz w:val="20"/>
                <w:szCs w:val="20"/>
                <w:lang w:eastAsia="en-US"/>
              </w:rPr>
              <w:t xml:space="preserve"> с </w:t>
            </w:r>
            <w:proofErr w:type="spellStart"/>
            <w:r w:rsidRPr="00026244">
              <w:rPr>
                <w:rFonts w:ascii="Palatino Linotype" w:hAnsi="Palatino Linotype" w:cs="Arial"/>
                <w:sz w:val="20"/>
                <w:szCs w:val="20"/>
                <w:lang w:eastAsia="en-US"/>
              </w:rPr>
              <w:t>собственниками</w:t>
            </w:r>
            <w:proofErr w:type="spellEnd"/>
          </w:p>
        </w:tc>
        <w:tc>
          <w:tcPr>
            <w:tcW w:w="586"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6,000</w:t>
            </w:r>
          </w:p>
        </w:tc>
        <w:tc>
          <w:tcPr>
            <w:tcW w:w="588"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2"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3"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599"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6,000</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w:sz w:val="20"/>
                <w:szCs w:val="20"/>
                <w:lang w:val="ru-RU" w:eastAsia="en-US"/>
              </w:rPr>
              <w:t>Прибыль за год</w:t>
            </w:r>
          </w:p>
        </w:tc>
        <w:tc>
          <w:tcPr>
            <w:tcW w:w="586"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588"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2"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3"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9,456</w:t>
            </w:r>
          </w:p>
        </w:tc>
        <w:tc>
          <w:tcPr>
            <w:tcW w:w="599"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9,456</w:t>
            </w:r>
          </w:p>
        </w:tc>
      </w:tr>
      <w:tr w:rsidR="00FB5F40" w:rsidRPr="00026244" w:rsidTr="00221B82">
        <w:tc>
          <w:tcPr>
            <w:tcW w:w="1762" w:type="pct"/>
            <w:noWrap/>
            <w:vAlign w:val="bottom"/>
          </w:tcPr>
          <w:p w:rsidR="00FB5F40" w:rsidRPr="00026244" w:rsidRDefault="00FB5F40" w:rsidP="00061907">
            <w:pPr>
              <w:pStyle w:val="TableText"/>
              <w:rPr>
                <w:rFonts w:ascii="Palatino Linotype" w:hAnsi="Palatino Linotype" w:cs="Arial"/>
                <w:b/>
                <w:sz w:val="20"/>
                <w:szCs w:val="20"/>
                <w:lang w:eastAsia="en-US"/>
              </w:rPr>
            </w:pPr>
            <w:proofErr w:type="spellStart"/>
            <w:r w:rsidRPr="00026244">
              <w:rPr>
                <w:rFonts w:ascii="Palatino Linotype" w:hAnsi="Palatino Linotype" w:cs="Arial"/>
                <w:b/>
                <w:sz w:val="20"/>
                <w:szCs w:val="20"/>
                <w:lang w:eastAsia="en-US"/>
              </w:rPr>
              <w:t>Прочийсовокупныйдоход</w:t>
            </w:r>
            <w:proofErr w:type="spellEnd"/>
          </w:p>
        </w:tc>
        <w:tc>
          <w:tcPr>
            <w:tcW w:w="586"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p>
        </w:tc>
        <w:tc>
          <w:tcPr>
            <w:tcW w:w="588"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p>
        </w:tc>
        <w:tc>
          <w:tcPr>
            <w:tcW w:w="732"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p>
        </w:tc>
        <w:tc>
          <w:tcPr>
            <w:tcW w:w="733"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p>
        </w:tc>
        <w:tc>
          <w:tcPr>
            <w:tcW w:w="599"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w:sz w:val="20"/>
                <w:szCs w:val="20"/>
                <w:lang w:val="ru-RU" w:eastAsia="en-US"/>
              </w:rPr>
              <w:t>Поправка резерва от реализации основных средств</w:t>
            </w:r>
          </w:p>
        </w:tc>
        <w:tc>
          <w:tcPr>
            <w:tcW w:w="586"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588"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2"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(1,014)</w:t>
            </w:r>
          </w:p>
        </w:tc>
        <w:tc>
          <w:tcPr>
            <w:tcW w:w="733"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1,014</w:t>
            </w:r>
          </w:p>
        </w:tc>
        <w:tc>
          <w:tcPr>
            <w:tcW w:w="599"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CYR"/>
                <w:sz w:val="20"/>
                <w:szCs w:val="20"/>
                <w:lang w:val="ru-RU" w:eastAsia="en-US"/>
              </w:rPr>
              <w:t>Отложенное налоговое обязательство от переоценки основных средств</w:t>
            </w:r>
          </w:p>
        </w:tc>
        <w:tc>
          <w:tcPr>
            <w:tcW w:w="586"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588"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2"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627</w:t>
            </w:r>
          </w:p>
        </w:tc>
        <w:tc>
          <w:tcPr>
            <w:tcW w:w="733"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599"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627</w:t>
            </w:r>
          </w:p>
        </w:tc>
      </w:tr>
      <w:tr w:rsidR="00FB5F40" w:rsidRPr="00026244" w:rsidTr="00221B82">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CYR"/>
                <w:sz w:val="20"/>
                <w:szCs w:val="20"/>
                <w:lang w:val="ru-RU" w:eastAsia="en-US"/>
              </w:rPr>
              <w:t xml:space="preserve">Перенос переоценки основных </w:t>
            </w:r>
            <w:proofErr w:type="spellStart"/>
            <w:r w:rsidRPr="00026244">
              <w:rPr>
                <w:rFonts w:ascii="Palatino Linotype" w:hAnsi="Palatino Linotype" w:cs="Arial CYR"/>
                <w:sz w:val="20"/>
                <w:szCs w:val="20"/>
                <w:lang w:val="ru-RU" w:eastAsia="en-US"/>
              </w:rPr>
              <w:t>средсв</w:t>
            </w:r>
            <w:proofErr w:type="spellEnd"/>
            <w:r w:rsidRPr="00026244">
              <w:rPr>
                <w:rFonts w:ascii="Palatino Linotype" w:hAnsi="Palatino Linotype" w:cs="Arial CYR"/>
                <w:sz w:val="20"/>
                <w:szCs w:val="20"/>
                <w:lang w:val="ru-RU" w:eastAsia="en-US"/>
              </w:rPr>
              <w:t xml:space="preserve"> в нераспределенную </w:t>
            </w:r>
            <w:proofErr w:type="spellStart"/>
            <w:r w:rsidRPr="00026244">
              <w:rPr>
                <w:rFonts w:ascii="Palatino Linotype" w:hAnsi="Palatino Linotype" w:cs="Arial CYR"/>
                <w:sz w:val="20"/>
                <w:szCs w:val="20"/>
                <w:lang w:val="ru-RU" w:eastAsia="en-US"/>
              </w:rPr>
              <w:t>прибиль</w:t>
            </w:r>
            <w:proofErr w:type="spellEnd"/>
          </w:p>
        </w:tc>
        <w:tc>
          <w:tcPr>
            <w:tcW w:w="586"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588"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2"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(1,037)</w:t>
            </w:r>
          </w:p>
        </w:tc>
        <w:tc>
          <w:tcPr>
            <w:tcW w:w="733"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1,037</w:t>
            </w:r>
          </w:p>
        </w:tc>
        <w:tc>
          <w:tcPr>
            <w:tcW w:w="599" w:type="pct"/>
          </w:tcPr>
          <w:p w:rsidR="00FB5F40" w:rsidRPr="00026244" w:rsidRDefault="00FB5F40" w:rsidP="00061907">
            <w:pPr>
              <w:pStyle w:val="TableText"/>
              <w:tabs>
                <w:tab w:val="decimal" w:pos="1006"/>
              </w:tabs>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r>
      <w:tr w:rsidR="00FB5F40" w:rsidRPr="00026244" w:rsidTr="00061907">
        <w:tc>
          <w:tcPr>
            <w:tcW w:w="1762" w:type="pct"/>
            <w:noWrap/>
          </w:tcPr>
          <w:p w:rsidR="00FB5F40" w:rsidRPr="00026244" w:rsidRDefault="00FB5F40" w:rsidP="00061907">
            <w:pPr>
              <w:pStyle w:val="TableText"/>
              <w:rPr>
                <w:rFonts w:ascii="Palatino Linotype" w:hAnsi="Palatino Linotype" w:cs="Arial"/>
                <w:sz w:val="20"/>
                <w:szCs w:val="20"/>
                <w:lang w:val="ru-RU" w:eastAsia="en-US"/>
              </w:rPr>
            </w:pPr>
            <w:r w:rsidRPr="00026244">
              <w:rPr>
                <w:rFonts w:ascii="Palatino Linotype" w:hAnsi="Palatino Linotype" w:cs="Arial"/>
                <w:sz w:val="20"/>
                <w:szCs w:val="20"/>
                <w:lang w:val="ru-RU" w:eastAsia="en-US"/>
              </w:rPr>
              <w:t>Всего совокупный доход за год</w:t>
            </w:r>
          </w:p>
        </w:tc>
        <w:tc>
          <w:tcPr>
            <w:tcW w:w="586"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588"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c>
          <w:tcPr>
            <w:tcW w:w="732"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(1,424)</w:t>
            </w:r>
          </w:p>
        </w:tc>
        <w:tc>
          <w:tcPr>
            <w:tcW w:w="733"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11,507</w:t>
            </w:r>
          </w:p>
        </w:tc>
        <w:tc>
          <w:tcPr>
            <w:tcW w:w="599"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10,083</w:t>
            </w:r>
          </w:p>
        </w:tc>
      </w:tr>
      <w:tr w:rsidR="00FB5F40" w:rsidRPr="00026244" w:rsidTr="00061907">
        <w:tc>
          <w:tcPr>
            <w:tcW w:w="1762" w:type="pct"/>
            <w:tcBorders>
              <w:bottom w:val="single" w:sz="12" w:space="0" w:color="006600"/>
            </w:tcBorders>
            <w:noWrap/>
          </w:tcPr>
          <w:p w:rsidR="00FB5F40" w:rsidRPr="00026244" w:rsidRDefault="00FB5F40" w:rsidP="00061907">
            <w:pPr>
              <w:pStyle w:val="TableText"/>
              <w:rPr>
                <w:rFonts w:ascii="Palatino Linotype" w:hAnsi="Palatino Linotype" w:cs="Arial"/>
                <w:b/>
                <w:sz w:val="20"/>
                <w:szCs w:val="20"/>
                <w:lang w:val="en-US" w:eastAsia="en-US"/>
              </w:rPr>
            </w:pPr>
            <w:r w:rsidRPr="00026244">
              <w:rPr>
                <w:rFonts w:ascii="Palatino Linotype" w:hAnsi="Palatino Linotype" w:cs="Arial"/>
                <w:b/>
                <w:sz w:val="20"/>
                <w:szCs w:val="20"/>
                <w:lang w:val="ru-RU" w:eastAsia="en-US"/>
              </w:rPr>
              <w:t>Остаток на 31 декабря 2011 года</w:t>
            </w:r>
          </w:p>
        </w:tc>
        <w:tc>
          <w:tcPr>
            <w:tcW w:w="586" w:type="pct"/>
            <w:tcBorders>
              <w:bottom w:val="single" w:sz="12" w:space="0" w:color="006600"/>
            </w:tcBorders>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30,435</w:t>
            </w:r>
          </w:p>
        </w:tc>
        <w:tc>
          <w:tcPr>
            <w:tcW w:w="588" w:type="pct"/>
            <w:tcBorders>
              <w:bottom w:val="single" w:sz="12" w:space="0" w:color="006600"/>
            </w:tcBorders>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8,400</w:t>
            </w:r>
          </w:p>
        </w:tc>
        <w:tc>
          <w:tcPr>
            <w:tcW w:w="732" w:type="pct"/>
            <w:tcBorders>
              <w:bottom w:val="single" w:sz="12" w:space="0" w:color="006600"/>
            </w:tcBorders>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37,113</w:t>
            </w:r>
          </w:p>
        </w:tc>
        <w:tc>
          <w:tcPr>
            <w:tcW w:w="733" w:type="pct"/>
            <w:tcBorders>
              <w:bottom w:val="single" w:sz="12" w:space="0" w:color="006600"/>
            </w:tcBorders>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49,634</w:t>
            </w:r>
          </w:p>
        </w:tc>
        <w:tc>
          <w:tcPr>
            <w:tcW w:w="599" w:type="pct"/>
            <w:tcBorders>
              <w:bottom w:val="single" w:sz="12" w:space="0" w:color="006600"/>
            </w:tcBorders>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125,582</w:t>
            </w:r>
          </w:p>
        </w:tc>
      </w:tr>
    </w:tbl>
    <w:p w:rsidR="00FB5F40" w:rsidRPr="00026244" w:rsidRDefault="00FB5F40" w:rsidP="00E9728B">
      <w:pPr>
        <w:jc w:val="both"/>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rPr>
      </w:pPr>
    </w:p>
    <w:p w:rsidR="00FB5F40" w:rsidRPr="00026244" w:rsidRDefault="00FB5F40" w:rsidP="001F678E">
      <w:pPr>
        <w:spacing w:after="0"/>
        <w:ind w:firstLine="284"/>
        <w:jc w:val="both"/>
        <w:rPr>
          <w:rFonts w:ascii="Palatino Linotype" w:hAnsi="Palatino Linotype"/>
          <w:lang w:val="en-US"/>
        </w:rPr>
      </w:pPr>
    </w:p>
    <w:p w:rsidR="00766A11" w:rsidRPr="00026244" w:rsidRDefault="00766A11"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rPr>
      </w:pPr>
    </w:p>
    <w:p w:rsidR="00FB5F40" w:rsidRPr="00026244" w:rsidRDefault="00FB5F40" w:rsidP="00766A11">
      <w:pPr>
        <w:spacing w:after="0"/>
        <w:rPr>
          <w:rFonts w:ascii="Palatino Linotype" w:hAnsi="Palatino Linotype"/>
          <w:b/>
          <w:color w:val="003300"/>
          <w:sz w:val="32"/>
          <w:szCs w:val="32"/>
          <w:lang w:val="tg-Cyrl-TJ"/>
        </w:rPr>
      </w:pPr>
      <w:bookmarkStart w:id="8" w:name="_Toc323507385"/>
      <w:r w:rsidRPr="00026244">
        <w:rPr>
          <w:rFonts w:ascii="Palatino Linotype" w:hAnsi="Palatino Linotype"/>
          <w:b/>
          <w:color w:val="003300"/>
          <w:sz w:val="32"/>
          <w:szCs w:val="32"/>
          <w:lang w:val="tg-Cyrl-TJ"/>
        </w:rPr>
        <w:lastRenderedPageBreak/>
        <w:t>Statement</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of</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changesin</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equity</w:t>
      </w:r>
      <w:bookmarkEnd w:id="8"/>
    </w:p>
    <w:tbl>
      <w:tblPr>
        <w:tblW w:w="9375" w:type="dxa"/>
        <w:tblLayout w:type="fixed"/>
        <w:tblCellMar>
          <w:top w:w="28" w:type="dxa"/>
          <w:left w:w="0" w:type="dxa"/>
          <w:bottom w:w="28" w:type="dxa"/>
          <w:right w:w="0" w:type="dxa"/>
        </w:tblCellMar>
        <w:tblLook w:val="0000" w:firstRow="0" w:lastRow="0" w:firstColumn="0" w:lastColumn="0" w:noHBand="0" w:noVBand="0"/>
      </w:tblPr>
      <w:tblGrid>
        <w:gridCol w:w="3262"/>
        <w:gridCol w:w="1134"/>
        <w:gridCol w:w="1275"/>
        <w:gridCol w:w="1273"/>
        <w:gridCol w:w="1358"/>
        <w:gridCol w:w="1073"/>
      </w:tblGrid>
      <w:tr w:rsidR="00FB5F40" w:rsidRPr="00026244" w:rsidTr="00221B82">
        <w:trPr>
          <w:tblHeader/>
        </w:trPr>
        <w:tc>
          <w:tcPr>
            <w:tcW w:w="1740" w:type="pct"/>
            <w:tcBorders>
              <w:top w:val="single" w:sz="12" w:space="0" w:color="006600"/>
              <w:bottom w:val="single" w:sz="12" w:space="0" w:color="006600"/>
            </w:tcBorders>
          </w:tcPr>
          <w:p w:rsidR="00FB5F40" w:rsidRPr="00026244" w:rsidRDefault="00FB5F40" w:rsidP="00061907">
            <w:pPr>
              <w:pStyle w:val="TableHeading"/>
              <w:rPr>
                <w:rFonts w:ascii="Palatino Linotype" w:hAnsi="Palatino Linotype"/>
                <w:sz w:val="20"/>
                <w:szCs w:val="20"/>
              </w:rPr>
            </w:pPr>
            <w:r w:rsidRPr="00026244">
              <w:rPr>
                <w:rFonts w:ascii="Palatino Linotype" w:hAnsi="Palatino Linotype"/>
                <w:b w:val="0"/>
                <w:sz w:val="20"/>
                <w:szCs w:val="20"/>
              </w:rPr>
              <w:t xml:space="preserve">In thousands Tajik </w:t>
            </w:r>
            <w:proofErr w:type="spellStart"/>
            <w:r w:rsidRPr="00026244">
              <w:rPr>
                <w:rFonts w:ascii="Palatino Linotype" w:hAnsi="Palatino Linotype"/>
                <w:b w:val="0"/>
                <w:sz w:val="20"/>
                <w:szCs w:val="20"/>
              </w:rPr>
              <w:t>somoni</w:t>
            </w:r>
            <w:proofErr w:type="spellEnd"/>
          </w:p>
        </w:tc>
        <w:tc>
          <w:tcPr>
            <w:tcW w:w="605"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r w:rsidRPr="00026244">
              <w:rPr>
                <w:rFonts w:ascii="Palatino Linotype" w:hAnsi="Palatino Linotype"/>
                <w:sz w:val="20"/>
                <w:szCs w:val="20"/>
              </w:rPr>
              <w:t>Share capital</w:t>
            </w:r>
          </w:p>
        </w:tc>
        <w:tc>
          <w:tcPr>
            <w:tcW w:w="680"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r w:rsidRPr="00026244">
              <w:rPr>
                <w:rFonts w:ascii="Palatino Linotype" w:hAnsi="Palatino Linotype"/>
                <w:sz w:val="20"/>
                <w:szCs w:val="20"/>
              </w:rPr>
              <w:t>Statutory general reserve</w:t>
            </w:r>
          </w:p>
        </w:tc>
        <w:tc>
          <w:tcPr>
            <w:tcW w:w="679"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r w:rsidRPr="00026244">
              <w:rPr>
                <w:rFonts w:ascii="Palatino Linotype" w:hAnsi="Palatino Linotype"/>
                <w:sz w:val="20"/>
                <w:szCs w:val="20"/>
              </w:rPr>
              <w:t xml:space="preserve">Revaluation reserve </w:t>
            </w:r>
          </w:p>
          <w:p w:rsidR="00FB5F40" w:rsidRPr="00026244" w:rsidRDefault="00FB5F40" w:rsidP="00061907">
            <w:pPr>
              <w:pStyle w:val="TableHeading"/>
              <w:ind w:right="113"/>
              <w:jc w:val="right"/>
              <w:rPr>
                <w:rFonts w:ascii="Palatino Linotype" w:hAnsi="Palatino Linotype"/>
                <w:sz w:val="20"/>
                <w:szCs w:val="20"/>
              </w:rPr>
            </w:pPr>
            <w:r w:rsidRPr="00026244">
              <w:rPr>
                <w:rFonts w:ascii="Palatino Linotype" w:hAnsi="Palatino Linotype"/>
                <w:sz w:val="20"/>
                <w:szCs w:val="20"/>
              </w:rPr>
              <w:t>of PPE</w:t>
            </w:r>
          </w:p>
        </w:tc>
        <w:tc>
          <w:tcPr>
            <w:tcW w:w="724"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r w:rsidRPr="00026244">
              <w:rPr>
                <w:rFonts w:ascii="Palatino Linotype" w:hAnsi="Palatino Linotype"/>
                <w:sz w:val="20"/>
                <w:szCs w:val="20"/>
              </w:rPr>
              <w:t>Retained earnings</w:t>
            </w:r>
          </w:p>
        </w:tc>
        <w:tc>
          <w:tcPr>
            <w:tcW w:w="572" w:type="pct"/>
            <w:tcBorders>
              <w:top w:val="single" w:sz="12" w:space="0" w:color="006600"/>
              <w:bottom w:val="single" w:sz="12" w:space="0" w:color="006600"/>
            </w:tcBorders>
            <w:vAlign w:val="bottom"/>
          </w:tcPr>
          <w:p w:rsidR="00FB5F40" w:rsidRPr="00026244" w:rsidRDefault="00FB5F40" w:rsidP="00061907">
            <w:pPr>
              <w:pStyle w:val="TableHeading"/>
              <w:ind w:right="113"/>
              <w:jc w:val="right"/>
              <w:rPr>
                <w:rFonts w:ascii="Palatino Linotype" w:hAnsi="Palatino Linotype"/>
                <w:sz w:val="20"/>
                <w:szCs w:val="20"/>
              </w:rPr>
            </w:pPr>
            <w:r w:rsidRPr="00026244">
              <w:rPr>
                <w:rFonts w:ascii="Palatino Linotype" w:hAnsi="Palatino Linotype"/>
                <w:sz w:val="20"/>
                <w:szCs w:val="20"/>
              </w:rPr>
              <w:t>Total</w:t>
            </w:r>
          </w:p>
        </w:tc>
      </w:tr>
      <w:tr w:rsidR="00FB5F40" w:rsidRPr="00026244" w:rsidTr="00221B82">
        <w:trPr>
          <w:tblHeader/>
        </w:trPr>
        <w:tc>
          <w:tcPr>
            <w:tcW w:w="1740" w:type="pct"/>
            <w:tcBorders>
              <w:top w:val="single" w:sz="12" w:space="0" w:color="006600"/>
            </w:tcBorders>
            <w:noWrap/>
          </w:tcPr>
          <w:p w:rsidR="00FB5F40" w:rsidRPr="00026244" w:rsidRDefault="00FB5F40" w:rsidP="00061907">
            <w:pPr>
              <w:pStyle w:val="TableText"/>
              <w:rPr>
                <w:rFonts w:ascii="Palatino Linotype" w:hAnsi="Palatino Linotype" w:cs="Arial"/>
                <w:b/>
                <w:sz w:val="20"/>
                <w:szCs w:val="20"/>
                <w:lang w:eastAsia="en-US"/>
              </w:rPr>
            </w:pPr>
          </w:p>
        </w:tc>
        <w:tc>
          <w:tcPr>
            <w:tcW w:w="605" w:type="pct"/>
            <w:tcBorders>
              <w:top w:val="single" w:sz="12" w:space="0" w:color="006600"/>
            </w:tcBorders>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680" w:type="pct"/>
            <w:tcBorders>
              <w:top w:val="single" w:sz="12" w:space="0" w:color="006600"/>
            </w:tcBorders>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679" w:type="pct"/>
            <w:tcBorders>
              <w:top w:val="single" w:sz="12" w:space="0" w:color="006600"/>
            </w:tcBorders>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724" w:type="pct"/>
            <w:tcBorders>
              <w:top w:val="single" w:sz="12" w:space="0" w:color="006600"/>
            </w:tcBorders>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572" w:type="pct"/>
            <w:tcBorders>
              <w:top w:val="single" w:sz="12" w:space="0" w:color="006600"/>
            </w:tcBorders>
          </w:tcPr>
          <w:p w:rsidR="00FB5F40" w:rsidRPr="00026244" w:rsidRDefault="00FB5F40" w:rsidP="00061907">
            <w:pPr>
              <w:pStyle w:val="TableText"/>
              <w:ind w:right="113"/>
              <w:jc w:val="right"/>
              <w:rPr>
                <w:rFonts w:ascii="Palatino Linotype" w:hAnsi="Palatino Linotype" w:cs="Arial"/>
                <w:b/>
                <w:sz w:val="20"/>
                <w:szCs w:val="20"/>
                <w:lang w:eastAsia="en-US"/>
              </w:rPr>
            </w:pP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b/>
                <w:sz w:val="20"/>
                <w:szCs w:val="20"/>
                <w:lang w:eastAsia="en-US"/>
              </w:rPr>
              <w:t>Balance as of January 1, 2010</w:t>
            </w:r>
          </w:p>
        </w:tc>
        <w:tc>
          <w:tcPr>
            <w:tcW w:w="605" w:type="pct"/>
          </w:tcPr>
          <w:p w:rsidR="00FB5F40" w:rsidRPr="00026244" w:rsidRDefault="00FB5F40" w:rsidP="00061907">
            <w:pPr>
              <w:pStyle w:val="TableTotal"/>
              <w:pBdr>
                <w:top w:val="single" w:sz="4" w:space="1" w:color="auto"/>
                <w:bottom w:val="double" w:sz="4" w:space="1" w:color="auto"/>
              </w:pBdr>
              <w:ind w:right="93"/>
              <w:jc w:val="right"/>
              <w:rPr>
                <w:rFonts w:ascii="Palatino Linotype" w:hAnsi="Palatino Linotype"/>
                <w:b/>
                <w:bCs/>
                <w:sz w:val="20"/>
                <w:szCs w:val="20"/>
                <w:lang w:eastAsia="en-US"/>
              </w:rPr>
            </w:pPr>
            <w:r w:rsidRPr="00026244">
              <w:rPr>
                <w:rFonts w:ascii="Palatino Linotype" w:hAnsi="Palatino Linotype"/>
                <w:b/>
                <w:bCs/>
                <w:sz w:val="20"/>
                <w:szCs w:val="20"/>
                <w:lang w:eastAsia="en-US"/>
              </w:rPr>
              <w:t>18,435</w:t>
            </w:r>
          </w:p>
        </w:tc>
        <w:tc>
          <w:tcPr>
            <w:tcW w:w="680" w:type="pct"/>
          </w:tcPr>
          <w:p w:rsidR="00FB5F40" w:rsidRPr="00026244" w:rsidRDefault="00FB5F40" w:rsidP="00061907">
            <w:pPr>
              <w:pStyle w:val="TableTotal"/>
              <w:pBdr>
                <w:top w:val="single" w:sz="4" w:space="1" w:color="auto"/>
                <w:bottom w:val="double" w:sz="4" w:space="1" w:color="auto"/>
              </w:pBdr>
              <w:ind w:right="93"/>
              <w:jc w:val="right"/>
              <w:rPr>
                <w:rFonts w:ascii="Palatino Linotype" w:hAnsi="Palatino Linotype"/>
                <w:b/>
                <w:bCs/>
                <w:sz w:val="20"/>
                <w:szCs w:val="20"/>
                <w:lang w:eastAsia="en-US"/>
              </w:rPr>
            </w:pPr>
            <w:r w:rsidRPr="00026244">
              <w:rPr>
                <w:rFonts w:ascii="Palatino Linotype" w:hAnsi="Palatino Linotype"/>
                <w:b/>
                <w:bCs/>
                <w:sz w:val="20"/>
                <w:szCs w:val="20"/>
                <w:lang w:eastAsia="en-US"/>
              </w:rPr>
              <w:t>8,400</w:t>
            </w:r>
          </w:p>
        </w:tc>
        <w:tc>
          <w:tcPr>
            <w:tcW w:w="679" w:type="pct"/>
          </w:tcPr>
          <w:p w:rsidR="00FB5F40" w:rsidRPr="00026244" w:rsidRDefault="00FB5F40" w:rsidP="00061907">
            <w:pPr>
              <w:pStyle w:val="TableTotal"/>
              <w:pBdr>
                <w:top w:val="single" w:sz="4" w:space="1" w:color="auto"/>
                <w:bottom w:val="double" w:sz="4" w:space="1" w:color="auto"/>
              </w:pBdr>
              <w:ind w:right="93"/>
              <w:jc w:val="right"/>
              <w:rPr>
                <w:rFonts w:ascii="Palatino Linotype" w:hAnsi="Palatino Linotype"/>
                <w:b/>
                <w:bCs/>
                <w:sz w:val="20"/>
                <w:szCs w:val="20"/>
                <w:lang w:eastAsia="en-US"/>
              </w:rPr>
            </w:pPr>
            <w:r w:rsidRPr="00026244">
              <w:rPr>
                <w:rFonts w:ascii="Palatino Linotype" w:hAnsi="Palatino Linotype"/>
                <w:b/>
                <w:bCs/>
                <w:sz w:val="20"/>
                <w:szCs w:val="20"/>
                <w:lang w:eastAsia="en-US"/>
              </w:rPr>
              <w:t>39,000</w:t>
            </w:r>
          </w:p>
        </w:tc>
        <w:tc>
          <w:tcPr>
            <w:tcW w:w="724" w:type="pct"/>
          </w:tcPr>
          <w:p w:rsidR="00FB5F40" w:rsidRPr="00026244" w:rsidRDefault="00FB5F40" w:rsidP="00061907">
            <w:pPr>
              <w:pStyle w:val="TableTotal"/>
              <w:pBdr>
                <w:top w:val="single" w:sz="4" w:space="1" w:color="auto"/>
                <w:bottom w:val="double" w:sz="4" w:space="1" w:color="auto"/>
              </w:pBdr>
              <w:ind w:right="93"/>
              <w:jc w:val="right"/>
              <w:rPr>
                <w:rFonts w:ascii="Palatino Linotype" w:hAnsi="Palatino Linotype"/>
                <w:b/>
                <w:bCs/>
                <w:sz w:val="20"/>
                <w:szCs w:val="20"/>
                <w:lang w:eastAsia="en-US"/>
              </w:rPr>
            </w:pPr>
            <w:r w:rsidRPr="00026244">
              <w:rPr>
                <w:rFonts w:ascii="Palatino Linotype" w:hAnsi="Palatino Linotype"/>
                <w:b/>
                <w:bCs/>
                <w:sz w:val="20"/>
                <w:szCs w:val="20"/>
                <w:lang w:eastAsia="en-US"/>
              </w:rPr>
              <w:t>32,889</w:t>
            </w:r>
          </w:p>
        </w:tc>
        <w:tc>
          <w:tcPr>
            <w:tcW w:w="572" w:type="pct"/>
          </w:tcPr>
          <w:p w:rsidR="00FB5F40" w:rsidRPr="00026244" w:rsidRDefault="00FB5F40" w:rsidP="00061907">
            <w:pPr>
              <w:pStyle w:val="TableTotal"/>
              <w:pBdr>
                <w:top w:val="single" w:sz="4" w:space="1" w:color="auto"/>
                <w:bottom w:val="double" w:sz="4" w:space="1" w:color="auto"/>
              </w:pBdr>
              <w:ind w:right="93"/>
              <w:jc w:val="right"/>
              <w:rPr>
                <w:rFonts w:ascii="Palatino Linotype" w:hAnsi="Palatino Linotype"/>
                <w:b/>
                <w:bCs/>
                <w:sz w:val="20"/>
                <w:szCs w:val="20"/>
                <w:lang w:eastAsia="en-US"/>
              </w:rPr>
            </w:pPr>
            <w:r w:rsidRPr="00026244">
              <w:rPr>
                <w:rFonts w:ascii="Palatino Linotype" w:hAnsi="Palatino Linotype"/>
                <w:b/>
                <w:bCs/>
                <w:sz w:val="20"/>
                <w:szCs w:val="20"/>
                <w:lang w:eastAsia="en-US"/>
              </w:rPr>
              <w:t>98.724</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p>
        </w:tc>
        <w:tc>
          <w:tcPr>
            <w:tcW w:w="605"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680"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679"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724"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Style w:val="hps"/>
                <w:rFonts w:ascii="Palatino Linotype" w:hAnsi="Palatino Linotype" w:cs="Arial"/>
                <w:sz w:val="20"/>
                <w:szCs w:val="20"/>
                <w:lang w:eastAsia="en-US"/>
              </w:rPr>
              <w:t>Increase in share capital</w:t>
            </w:r>
          </w:p>
        </w:tc>
        <w:tc>
          <w:tcPr>
            <w:tcW w:w="605"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6,000</w:t>
            </w:r>
          </w:p>
        </w:tc>
        <w:tc>
          <w:tcPr>
            <w:tcW w:w="680"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24"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6,000</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Fonts w:ascii="Palatino Linotype" w:hAnsi="Palatino Linotype" w:cs="Arial"/>
                <w:sz w:val="20"/>
                <w:szCs w:val="20"/>
                <w:lang w:eastAsia="en-US"/>
              </w:rPr>
              <w:t>Transactions with owners</w:t>
            </w:r>
          </w:p>
        </w:tc>
        <w:tc>
          <w:tcPr>
            <w:tcW w:w="605"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6,000</w:t>
            </w:r>
          </w:p>
        </w:tc>
        <w:tc>
          <w:tcPr>
            <w:tcW w:w="680"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24"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572"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6,000</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Fonts w:ascii="Palatino Linotype" w:hAnsi="Palatino Linotype" w:cs="Arial"/>
                <w:sz w:val="20"/>
                <w:szCs w:val="20"/>
                <w:lang w:eastAsia="en-US"/>
              </w:rPr>
              <w:t>Profit  for the year</w:t>
            </w:r>
          </w:p>
        </w:tc>
        <w:tc>
          <w:tcPr>
            <w:tcW w:w="605"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80"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24"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4,211</w:t>
            </w: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4,211</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Fonts w:ascii="Palatino Linotype" w:hAnsi="Palatino Linotype" w:cs="Arial"/>
                <w:b/>
                <w:bCs/>
                <w:sz w:val="20"/>
                <w:szCs w:val="20"/>
                <w:lang w:eastAsia="en-US"/>
              </w:rPr>
              <w:t>Other comprehensive income:</w:t>
            </w:r>
          </w:p>
        </w:tc>
        <w:tc>
          <w:tcPr>
            <w:tcW w:w="605"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680"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679"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724" w:type="pct"/>
          </w:tcPr>
          <w:p w:rsidR="00FB5F40" w:rsidRPr="00026244" w:rsidRDefault="00FB5F40" w:rsidP="00061907">
            <w:pPr>
              <w:pStyle w:val="TableText"/>
              <w:ind w:right="113"/>
              <w:jc w:val="right"/>
              <w:rPr>
                <w:rFonts w:ascii="Palatino Linotype" w:hAnsi="Palatino Linotype" w:cs="Arial"/>
                <w:sz w:val="20"/>
                <w:szCs w:val="20"/>
                <w:lang w:eastAsia="en-US"/>
              </w:rPr>
            </w:pP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Fonts w:ascii="Palatino Linotype" w:hAnsi="Palatino Linotype" w:cs="Arial"/>
                <w:sz w:val="20"/>
                <w:szCs w:val="20"/>
                <w:lang w:eastAsia="en-US"/>
              </w:rPr>
              <w:t>Transfer of revaluation reserve to retained earnings</w:t>
            </w:r>
          </w:p>
        </w:tc>
        <w:tc>
          <w:tcPr>
            <w:tcW w:w="605"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80"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(1,027)</w:t>
            </w:r>
          </w:p>
        </w:tc>
        <w:tc>
          <w:tcPr>
            <w:tcW w:w="724"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1,027</w:t>
            </w: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Style w:val="hps"/>
                <w:rFonts w:ascii="Palatino Linotype" w:hAnsi="Palatino Linotype" w:cs="Arial"/>
                <w:sz w:val="20"/>
                <w:szCs w:val="20"/>
                <w:lang w:eastAsia="en-US"/>
              </w:rPr>
              <w:t xml:space="preserve">Deferred tax </w:t>
            </w:r>
            <w:proofErr w:type="spellStart"/>
            <w:r w:rsidRPr="00026244">
              <w:rPr>
                <w:rStyle w:val="hps"/>
                <w:rFonts w:ascii="Palatino Linotype" w:hAnsi="Palatino Linotype" w:cs="Arial"/>
                <w:sz w:val="20"/>
                <w:szCs w:val="20"/>
                <w:lang w:eastAsia="en-US"/>
              </w:rPr>
              <w:t>liabilityon</w:t>
            </w:r>
            <w:proofErr w:type="spellEnd"/>
            <w:r w:rsidRPr="00026244">
              <w:rPr>
                <w:rStyle w:val="hps"/>
                <w:rFonts w:ascii="Palatino Linotype" w:hAnsi="Palatino Linotype" w:cs="Arial"/>
                <w:sz w:val="20"/>
                <w:szCs w:val="20"/>
                <w:lang w:eastAsia="en-US"/>
              </w:rPr>
              <w:t xml:space="preserve"> revaluation </w:t>
            </w:r>
            <w:proofErr w:type="spellStart"/>
            <w:r w:rsidRPr="00026244">
              <w:rPr>
                <w:rStyle w:val="hps"/>
                <w:rFonts w:ascii="Palatino Linotype" w:hAnsi="Palatino Linotype" w:cs="Arial"/>
                <w:sz w:val="20"/>
                <w:szCs w:val="20"/>
                <w:lang w:eastAsia="en-US"/>
              </w:rPr>
              <w:t>offixed</w:t>
            </w:r>
            <w:proofErr w:type="spellEnd"/>
            <w:r w:rsidRPr="00026244">
              <w:rPr>
                <w:rStyle w:val="hps"/>
                <w:rFonts w:ascii="Palatino Linotype" w:hAnsi="Palatino Linotype" w:cs="Arial"/>
                <w:sz w:val="20"/>
                <w:szCs w:val="20"/>
                <w:lang w:eastAsia="en-US"/>
              </w:rPr>
              <w:t xml:space="preserve"> assets</w:t>
            </w:r>
          </w:p>
        </w:tc>
        <w:tc>
          <w:tcPr>
            <w:tcW w:w="605"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80"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564</w:t>
            </w:r>
          </w:p>
        </w:tc>
        <w:tc>
          <w:tcPr>
            <w:tcW w:w="724"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564</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p>
        </w:tc>
        <w:tc>
          <w:tcPr>
            <w:tcW w:w="605" w:type="pct"/>
          </w:tcPr>
          <w:p w:rsidR="00FB5F40" w:rsidRPr="00026244" w:rsidRDefault="00FB5F40" w:rsidP="00061907">
            <w:pPr>
              <w:pStyle w:val="TableText"/>
              <w:tabs>
                <w:tab w:val="decimal" w:pos="1006"/>
              </w:tabs>
              <w:ind w:right="113"/>
              <w:rPr>
                <w:rFonts w:ascii="Palatino Linotype" w:hAnsi="Palatino Linotype" w:cs="Arial"/>
                <w:sz w:val="20"/>
                <w:szCs w:val="20"/>
                <w:lang w:eastAsia="en-US"/>
              </w:rPr>
            </w:pPr>
          </w:p>
        </w:tc>
        <w:tc>
          <w:tcPr>
            <w:tcW w:w="680" w:type="pct"/>
          </w:tcPr>
          <w:p w:rsidR="00FB5F40" w:rsidRPr="00026244" w:rsidRDefault="00FB5F40" w:rsidP="00061907">
            <w:pPr>
              <w:pStyle w:val="TableText"/>
              <w:tabs>
                <w:tab w:val="decimal" w:pos="1006"/>
              </w:tabs>
              <w:ind w:right="113"/>
              <w:rPr>
                <w:rFonts w:ascii="Palatino Linotype" w:hAnsi="Palatino Linotype" w:cs="Arial"/>
                <w:sz w:val="20"/>
                <w:szCs w:val="20"/>
                <w:lang w:eastAsia="en-US"/>
              </w:rPr>
            </w:pPr>
          </w:p>
        </w:tc>
        <w:tc>
          <w:tcPr>
            <w:tcW w:w="679" w:type="pct"/>
          </w:tcPr>
          <w:p w:rsidR="00FB5F40" w:rsidRPr="00026244" w:rsidRDefault="00FB5F40" w:rsidP="00061907">
            <w:pPr>
              <w:pStyle w:val="TableText"/>
              <w:tabs>
                <w:tab w:val="decimal" w:pos="1006"/>
              </w:tabs>
              <w:ind w:right="113"/>
              <w:rPr>
                <w:rFonts w:ascii="Palatino Linotype" w:hAnsi="Palatino Linotype" w:cs="Arial"/>
                <w:sz w:val="20"/>
                <w:szCs w:val="20"/>
                <w:lang w:eastAsia="en-US"/>
              </w:rPr>
            </w:pPr>
          </w:p>
        </w:tc>
        <w:tc>
          <w:tcPr>
            <w:tcW w:w="724" w:type="pct"/>
          </w:tcPr>
          <w:p w:rsidR="00FB5F40" w:rsidRPr="00026244" w:rsidRDefault="00FB5F40" w:rsidP="00061907">
            <w:pPr>
              <w:pStyle w:val="TableText"/>
              <w:tabs>
                <w:tab w:val="decimal" w:pos="1006"/>
              </w:tabs>
              <w:ind w:right="113"/>
              <w:rPr>
                <w:rFonts w:ascii="Palatino Linotype" w:hAnsi="Palatino Linotype" w:cs="Arial"/>
                <w:sz w:val="20"/>
                <w:szCs w:val="20"/>
                <w:lang w:eastAsia="en-US"/>
              </w:rPr>
            </w:pP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Fonts w:ascii="Palatino Linotype" w:hAnsi="Palatino Linotype" w:cs="Arial"/>
                <w:sz w:val="20"/>
                <w:szCs w:val="20"/>
                <w:lang w:eastAsia="en-US"/>
              </w:rPr>
              <w:t>Total comprehensive income for the year</w:t>
            </w:r>
          </w:p>
        </w:tc>
        <w:tc>
          <w:tcPr>
            <w:tcW w:w="605"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80"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(463)</w:t>
            </w:r>
          </w:p>
        </w:tc>
        <w:tc>
          <w:tcPr>
            <w:tcW w:w="724"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5,238</w:t>
            </w:r>
          </w:p>
        </w:tc>
        <w:tc>
          <w:tcPr>
            <w:tcW w:w="572"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4,775</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b/>
                <w:sz w:val="20"/>
                <w:szCs w:val="20"/>
                <w:lang w:eastAsia="en-US"/>
              </w:rPr>
              <w:t>Balance as of December 31, 2010</w:t>
            </w:r>
          </w:p>
        </w:tc>
        <w:tc>
          <w:tcPr>
            <w:tcW w:w="605"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24,435</w:t>
            </w:r>
          </w:p>
        </w:tc>
        <w:tc>
          <w:tcPr>
            <w:tcW w:w="680"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8,400</w:t>
            </w:r>
          </w:p>
        </w:tc>
        <w:tc>
          <w:tcPr>
            <w:tcW w:w="679"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38,537</w:t>
            </w:r>
          </w:p>
        </w:tc>
        <w:tc>
          <w:tcPr>
            <w:tcW w:w="724"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38,127</w:t>
            </w:r>
          </w:p>
        </w:tc>
        <w:tc>
          <w:tcPr>
            <w:tcW w:w="572" w:type="pct"/>
          </w:tcPr>
          <w:p w:rsidR="00FB5F40" w:rsidRPr="00026244" w:rsidRDefault="00FB5F40" w:rsidP="00061907">
            <w:pPr>
              <w:pStyle w:val="TableText"/>
              <w:pBdr>
                <w:top w:val="single" w:sz="4" w:space="1" w:color="auto"/>
                <w:bottom w:val="double" w:sz="4" w:space="1" w:color="auto"/>
              </w:pBdr>
              <w:ind w:right="113"/>
              <w:jc w:val="right"/>
              <w:rPr>
                <w:rFonts w:ascii="Palatino Linotype" w:hAnsi="Palatino Linotype" w:cs="Arial"/>
                <w:b/>
                <w:sz w:val="20"/>
                <w:szCs w:val="20"/>
                <w:lang w:val="en-US" w:eastAsia="en-US"/>
              </w:rPr>
            </w:pPr>
            <w:r w:rsidRPr="00026244">
              <w:rPr>
                <w:rFonts w:ascii="Palatino Linotype" w:hAnsi="Palatino Linotype" w:cs="Arial"/>
                <w:b/>
                <w:sz w:val="20"/>
                <w:szCs w:val="20"/>
                <w:lang w:val="en-US" w:eastAsia="en-US"/>
              </w:rPr>
              <w:t>109,499</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p>
        </w:tc>
        <w:tc>
          <w:tcPr>
            <w:tcW w:w="605"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680"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679"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724"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572"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sz w:val="20"/>
                <w:szCs w:val="20"/>
                <w:lang w:eastAsia="en-US"/>
              </w:rPr>
            </w:pPr>
            <w:r w:rsidRPr="00026244">
              <w:rPr>
                <w:rStyle w:val="hps"/>
                <w:rFonts w:ascii="Palatino Linotype" w:hAnsi="Palatino Linotype" w:cs="Arial"/>
                <w:sz w:val="20"/>
                <w:szCs w:val="20"/>
                <w:lang w:eastAsia="en-US"/>
              </w:rPr>
              <w:t>Increase in share capital</w:t>
            </w:r>
          </w:p>
        </w:tc>
        <w:tc>
          <w:tcPr>
            <w:tcW w:w="605"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6,000</w:t>
            </w:r>
          </w:p>
        </w:tc>
        <w:tc>
          <w:tcPr>
            <w:tcW w:w="680"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724" w:type="pct"/>
          </w:tcPr>
          <w:p w:rsidR="00FB5F40" w:rsidRPr="00026244" w:rsidRDefault="00FB5F40" w:rsidP="00061907">
            <w:pPr>
              <w:pStyle w:val="TableText"/>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572" w:type="pct"/>
          </w:tcPr>
          <w:p w:rsidR="00FB5F40" w:rsidRPr="00026244" w:rsidRDefault="00FB5F40" w:rsidP="00061907">
            <w:pPr>
              <w:pStyle w:val="TableText"/>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6,000</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sz w:val="20"/>
                <w:szCs w:val="20"/>
                <w:lang w:eastAsia="en-US"/>
              </w:rPr>
              <w:t>Transactions with owners</w:t>
            </w:r>
          </w:p>
        </w:tc>
        <w:tc>
          <w:tcPr>
            <w:tcW w:w="605" w:type="pct"/>
          </w:tcPr>
          <w:p w:rsidR="00FB5F40" w:rsidRPr="00026244" w:rsidRDefault="00FB5F40" w:rsidP="00061907">
            <w:pPr>
              <w:pStyle w:val="TableTotal"/>
              <w:pBdr>
                <w:top w:val="single" w:sz="4" w:space="1"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6,000</w:t>
            </w:r>
          </w:p>
        </w:tc>
        <w:tc>
          <w:tcPr>
            <w:tcW w:w="680" w:type="pct"/>
          </w:tcPr>
          <w:p w:rsidR="00FB5F40" w:rsidRPr="00026244" w:rsidRDefault="00FB5F40" w:rsidP="00061907">
            <w:pPr>
              <w:pStyle w:val="TableTotal"/>
              <w:pBdr>
                <w:top w:val="single" w:sz="4" w:space="1"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79" w:type="pct"/>
          </w:tcPr>
          <w:p w:rsidR="00FB5F40" w:rsidRPr="00026244" w:rsidRDefault="00FB5F40" w:rsidP="00061907">
            <w:pPr>
              <w:pStyle w:val="TableTotal"/>
              <w:pBdr>
                <w:top w:val="single" w:sz="4" w:space="1"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724" w:type="pct"/>
          </w:tcPr>
          <w:p w:rsidR="00FB5F40" w:rsidRPr="00026244" w:rsidRDefault="00FB5F40" w:rsidP="00061907">
            <w:pPr>
              <w:pStyle w:val="TableTotal"/>
              <w:pBdr>
                <w:top w:val="single" w:sz="4" w:space="1"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572" w:type="pct"/>
          </w:tcPr>
          <w:p w:rsidR="00FB5F40" w:rsidRPr="00026244" w:rsidRDefault="00FB5F40" w:rsidP="00061907">
            <w:pPr>
              <w:pStyle w:val="TableTotal"/>
              <w:pBdr>
                <w:top w:val="single" w:sz="4" w:space="1" w:color="auto"/>
                <w:bottom w:val="none" w:sz="0" w:space="0" w:color="auto"/>
              </w:pBdr>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6,000</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sz w:val="20"/>
                <w:szCs w:val="20"/>
                <w:lang w:eastAsia="en-US"/>
              </w:rPr>
              <w:t>Profit  for the year</w:t>
            </w:r>
          </w:p>
        </w:tc>
        <w:tc>
          <w:tcPr>
            <w:tcW w:w="605"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80"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79"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724"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9,456</w:t>
            </w:r>
          </w:p>
        </w:tc>
        <w:tc>
          <w:tcPr>
            <w:tcW w:w="572"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9,456</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b/>
                <w:bCs/>
                <w:sz w:val="20"/>
                <w:szCs w:val="20"/>
                <w:lang w:eastAsia="en-US"/>
              </w:rPr>
              <w:t>Other comprehensive income:</w:t>
            </w:r>
          </w:p>
        </w:tc>
        <w:tc>
          <w:tcPr>
            <w:tcW w:w="605"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680"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679"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724"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572"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sz w:val="20"/>
                <w:szCs w:val="20"/>
                <w:lang w:eastAsia="en-US"/>
              </w:rPr>
              <w:t>Adjustment to reserve on disposal of PPE</w:t>
            </w:r>
          </w:p>
        </w:tc>
        <w:tc>
          <w:tcPr>
            <w:tcW w:w="605"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80"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79"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(1,014)</w:t>
            </w:r>
          </w:p>
        </w:tc>
        <w:tc>
          <w:tcPr>
            <w:tcW w:w="724"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1,014</w:t>
            </w:r>
          </w:p>
        </w:tc>
        <w:tc>
          <w:tcPr>
            <w:tcW w:w="572"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w:t>
            </w:r>
          </w:p>
        </w:tc>
      </w:tr>
      <w:tr w:rsidR="00FB5F40" w:rsidRPr="00026244" w:rsidTr="00221B82">
        <w:tc>
          <w:tcPr>
            <w:tcW w:w="1740" w:type="pct"/>
            <w:noWrap/>
          </w:tcPr>
          <w:p w:rsidR="00FB5F40" w:rsidRPr="00026244" w:rsidRDefault="00FB5F40" w:rsidP="00061907">
            <w:pPr>
              <w:pStyle w:val="TableText"/>
              <w:rPr>
                <w:rStyle w:val="hps"/>
                <w:rFonts w:ascii="Palatino Linotype" w:hAnsi="Palatino Linotype" w:cs="Arial"/>
                <w:sz w:val="20"/>
                <w:szCs w:val="20"/>
                <w:lang w:eastAsia="en-US"/>
              </w:rPr>
            </w:pPr>
            <w:r w:rsidRPr="00026244">
              <w:rPr>
                <w:rStyle w:val="hps"/>
                <w:rFonts w:ascii="Palatino Linotype" w:hAnsi="Palatino Linotype" w:cs="Arial"/>
                <w:sz w:val="20"/>
                <w:szCs w:val="20"/>
                <w:lang w:eastAsia="en-US"/>
              </w:rPr>
              <w:t xml:space="preserve">Deferred tax </w:t>
            </w:r>
            <w:proofErr w:type="spellStart"/>
            <w:r w:rsidRPr="00026244">
              <w:rPr>
                <w:rStyle w:val="hps"/>
                <w:rFonts w:ascii="Palatino Linotype" w:hAnsi="Palatino Linotype" w:cs="Arial"/>
                <w:sz w:val="20"/>
                <w:szCs w:val="20"/>
                <w:lang w:eastAsia="en-US"/>
              </w:rPr>
              <w:t>liabilityon</w:t>
            </w:r>
            <w:proofErr w:type="spellEnd"/>
            <w:r w:rsidRPr="00026244">
              <w:rPr>
                <w:rStyle w:val="hps"/>
                <w:rFonts w:ascii="Palatino Linotype" w:hAnsi="Palatino Linotype" w:cs="Arial"/>
                <w:sz w:val="20"/>
                <w:szCs w:val="20"/>
                <w:lang w:eastAsia="en-US"/>
              </w:rPr>
              <w:t xml:space="preserve"> revaluation </w:t>
            </w:r>
            <w:proofErr w:type="spellStart"/>
            <w:r w:rsidRPr="00026244">
              <w:rPr>
                <w:rStyle w:val="hps"/>
                <w:rFonts w:ascii="Palatino Linotype" w:hAnsi="Palatino Linotype" w:cs="Arial"/>
                <w:sz w:val="20"/>
                <w:szCs w:val="20"/>
                <w:lang w:eastAsia="en-US"/>
              </w:rPr>
              <w:t>offixed</w:t>
            </w:r>
            <w:proofErr w:type="spellEnd"/>
            <w:r w:rsidRPr="00026244">
              <w:rPr>
                <w:rStyle w:val="hps"/>
                <w:rFonts w:ascii="Palatino Linotype" w:hAnsi="Palatino Linotype" w:cs="Arial"/>
                <w:sz w:val="20"/>
                <w:szCs w:val="20"/>
                <w:lang w:eastAsia="en-US"/>
              </w:rPr>
              <w:t xml:space="preserve"> assets</w:t>
            </w:r>
          </w:p>
        </w:tc>
        <w:tc>
          <w:tcPr>
            <w:tcW w:w="605"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80"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79"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627</w:t>
            </w:r>
          </w:p>
        </w:tc>
        <w:tc>
          <w:tcPr>
            <w:tcW w:w="724"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572"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627</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sz w:val="20"/>
                <w:szCs w:val="20"/>
                <w:lang w:eastAsia="en-US"/>
              </w:rPr>
              <w:t>Transfer of revaluation reserve to retained earnings</w:t>
            </w:r>
          </w:p>
        </w:tc>
        <w:tc>
          <w:tcPr>
            <w:tcW w:w="605"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80"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w:t>
            </w:r>
          </w:p>
        </w:tc>
        <w:tc>
          <w:tcPr>
            <w:tcW w:w="679"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(1,037)</w:t>
            </w:r>
          </w:p>
        </w:tc>
        <w:tc>
          <w:tcPr>
            <w:tcW w:w="724"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r w:rsidRPr="00026244">
              <w:rPr>
                <w:rFonts w:ascii="Palatino Linotype" w:hAnsi="Palatino Linotype"/>
                <w:bCs/>
                <w:sz w:val="20"/>
                <w:szCs w:val="20"/>
                <w:lang w:eastAsia="en-US"/>
              </w:rPr>
              <w:t>1,037</w:t>
            </w:r>
          </w:p>
        </w:tc>
        <w:tc>
          <w:tcPr>
            <w:tcW w:w="572"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p>
        </w:tc>
        <w:tc>
          <w:tcPr>
            <w:tcW w:w="605"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680"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679"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724"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Cs/>
                <w:sz w:val="20"/>
                <w:szCs w:val="20"/>
                <w:lang w:eastAsia="en-US"/>
              </w:rPr>
            </w:pPr>
          </w:p>
        </w:tc>
        <w:tc>
          <w:tcPr>
            <w:tcW w:w="572" w:type="pct"/>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sz w:val="20"/>
                <w:szCs w:val="20"/>
                <w:lang w:eastAsia="en-US"/>
              </w:rPr>
              <w:t>Total comprehensive income for the year</w:t>
            </w:r>
          </w:p>
        </w:tc>
        <w:tc>
          <w:tcPr>
            <w:tcW w:w="605"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80"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w:t>
            </w:r>
          </w:p>
        </w:tc>
        <w:tc>
          <w:tcPr>
            <w:tcW w:w="679"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(1,424)</w:t>
            </w:r>
          </w:p>
        </w:tc>
        <w:tc>
          <w:tcPr>
            <w:tcW w:w="724" w:type="pct"/>
          </w:tcPr>
          <w:p w:rsidR="00FB5F40" w:rsidRPr="00026244" w:rsidRDefault="00FB5F40" w:rsidP="00061907">
            <w:pPr>
              <w:pStyle w:val="TableText"/>
              <w:pBdr>
                <w:top w:val="single" w:sz="6" w:space="1" w:color="auto"/>
              </w:pBdr>
              <w:ind w:right="113"/>
              <w:jc w:val="right"/>
              <w:rPr>
                <w:rFonts w:ascii="Palatino Linotype" w:hAnsi="Palatino Linotype" w:cs="Arial"/>
                <w:sz w:val="20"/>
                <w:szCs w:val="20"/>
                <w:lang w:eastAsia="en-US"/>
              </w:rPr>
            </w:pPr>
            <w:r w:rsidRPr="00026244">
              <w:rPr>
                <w:rFonts w:ascii="Palatino Linotype" w:hAnsi="Palatino Linotype" w:cs="Arial"/>
                <w:sz w:val="20"/>
                <w:szCs w:val="20"/>
                <w:lang w:eastAsia="en-US"/>
              </w:rPr>
              <w:t>11,507</w:t>
            </w:r>
          </w:p>
        </w:tc>
        <w:tc>
          <w:tcPr>
            <w:tcW w:w="572" w:type="pct"/>
          </w:tcPr>
          <w:p w:rsidR="00FB5F40" w:rsidRPr="00026244" w:rsidRDefault="00FB5F40" w:rsidP="00061907">
            <w:pPr>
              <w:pStyle w:val="TableText"/>
              <w:pBdr>
                <w:top w:val="single" w:sz="6" w:space="1" w:color="auto"/>
              </w:pBdr>
              <w:ind w:right="113"/>
              <w:jc w:val="right"/>
              <w:rPr>
                <w:rFonts w:ascii="Palatino Linotype" w:hAnsi="Palatino Linotype" w:cs="Arial"/>
                <w:b/>
                <w:sz w:val="20"/>
                <w:szCs w:val="20"/>
                <w:lang w:eastAsia="en-US"/>
              </w:rPr>
            </w:pPr>
            <w:r w:rsidRPr="00026244">
              <w:rPr>
                <w:rFonts w:ascii="Palatino Linotype" w:hAnsi="Palatino Linotype" w:cs="Arial"/>
                <w:b/>
                <w:sz w:val="20"/>
                <w:szCs w:val="20"/>
                <w:lang w:eastAsia="en-US"/>
              </w:rPr>
              <w:t>10,083</w:t>
            </w:r>
          </w:p>
        </w:tc>
      </w:tr>
      <w:tr w:rsidR="00FB5F40" w:rsidRPr="00026244" w:rsidTr="00221B82">
        <w:tc>
          <w:tcPr>
            <w:tcW w:w="1740" w:type="pct"/>
            <w:noWrap/>
          </w:tcPr>
          <w:p w:rsidR="00FB5F40" w:rsidRPr="00026244" w:rsidRDefault="00FB5F40" w:rsidP="00061907">
            <w:pPr>
              <w:pStyle w:val="TableText"/>
              <w:rPr>
                <w:rFonts w:ascii="Palatino Linotype" w:hAnsi="Palatino Linotype" w:cs="Arial"/>
                <w:b/>
                <w:sz w:val="20"/>
                <w:szCs w:val="20"/>
                <w:lang w:eastAsia="en-US"/>
              </w:rPr>
            </w:pPr>
            <w:r w:rsidRPr="00026244">
              <w:rPr>
                <w:rFonts w:ascii="Palatino Linotype" w:hAnsi="Palatino Linotype" w:cs="Arial"/>
                <w:b/>
                <w:sz w:val="20"/>
                <w:szCs w:val="20"/>
                <w:lang w:eastAsia="en-US"/>
              </w:rPr>
              <w:t>Balance as of December 31, 2011</w:t>
            </w:r>
          </w:p>
        </w:tc>
        <w:tc>
          <w:tcPr>
            <w:tcW w:w="605" w:type="pct"/>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30,435</w:t>
            </w:r>
          </w:p>
        </w:tc>
        <w:tc>
          <w:tcPr>
            <w:tcW w:w="680" w:type="pct"/>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8,400</w:t>
            </w:r>
          </w:p>
        </w:tc>
        <w:tc>
          <w:tcPr>
            <w:tcW w:w="679" w:type="pct"/>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37,113</w:t>
            </w:r>
          </w:p>
        </w:tc>
        <w:tc>
          <w:tcPr>
            <w:tcW w:w="724" w:type="pct"/>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49,634</w:t>
            </w:r>
          </w:p>
        </w:tc>
        <w:tc>
          <w:tcPr>
            <w:tcW w:w="572" w:type="pct"/>
          </w:tcPr>
          <w:p w:rsidR="00FB5F40" w:rsidRPr="00026244" w:rsidRDefault="00FB5F40" w:rsidP="00061907">
            <w:pPr>
              <w:pStyle w:val="TableTotal"/>
              <w:ind w:right="113"/>
              <w:jc w:val="right"/>
              <w:rPr>
                <w:rFonts w:ascii="Palatino Linotype" w:hAnsi="Palatino Linotype"/>
                <w:b/>
                <w:bCs/>
                <w:sz w:val="20"/>
                <w:szCs w:val="20"/>
                <w:lang w:eastAsia="en-US"/>
              </w:rPr>
            </w:pPr>
            <w:r w:rsidRPr="00026244">
              <w:rPr>
                <w:rFonts w:ascii="Palatino Linotype" w:hAnsi="Palatino Linotype"/>
                <w:b/>
                <w:bCs/>
                <w:sz w:val="20"/>
                <w:szCs w:val="20"/>
                <w:lang w:eastAsia="en-US"/>
              </w:rPr>
              <w:t>125,582</w:t>
            </w:r>
          </w:p>
        </w:tc>
      </w:tr>
      <w:tr w:rsidR="00FB5F40" w:rsidRPr="00026244" w:rsidTr="00221B82">
        <w:tc>
          <w:tcPr>
            <w:tcW w:w="1740" w:type="pct"/>
            <w:tcBorders>
              <w:bottom w:val="single" w:sz="12" w:space="0" w:color="006600"/>
            </w:tcBorders>
            <w:noWrap/>
          </w:tcPr>
          <w:p w:rsidR="00FB5F40" w:rsidRPr="00026244" w:rsidRDefault="00FB5F40" w:rsidP="00061907">
            <w:pPr>
              <w:pStyle w:val="TableText"/>
              <w:rPr>
                <w:rFonts w:ascii="Palatino Linotype" w:hAnsi="Palatino Linotype" w:cs="Arial"/>
                <w:b/>
                <w:sz w:val="20"/>
                <w:szCs w:val="20"/>
                <w:lang w:eastAsia="en-US"/>
              </w:rPr>
            </w:pPr>
          </w:p>
        </w:tc>
        <w:tc>
          <w:tcPr>
            <w:tcW w:w="605" w:type="pct"/>
            <w:tcBorders>
              <w:bottom w:val="single" w:sz="12" w:space="0" w:color="006600"/>
            </w:tcBorders>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680" w:type="pct"/>
            <w:tcBorders>
              <w:bottom w:val="single" w:sz="12" w:space="0" w:color="006600"/>
            </w:tcBorders>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679" w:type="pct"/>
            <w:tcBorders>
              <w:bottom w:val="single" w:sz="12" w:space="0" w:color="006600"/>
            </w:tcBorders>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724" w:type="pct"/>
            <w:tcBorders>
              <w:bottom w:val="single" w:sz="12" w:space="0" w:color="006600"/>
            </w:tcBorders>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c>
          <w:tcPr>
            <w:tcW w:w="572" w:type="pct"/>
            <w:tcBorders>
              <w:bottom w:val="single" w:sz="12" w:space="0" w:color="006600"/>
            </w:tcBorders>
          </w:tcPr>
          <w:p w:rsidR="00FB5F40" w:rsidRPr="00026244" w:rsidRDefault="00FB5F40" w:rsidP="00061907">
            <w:pPr>
              <w:pStyle w:val="TableTotal"/>
              <w:pBdr>
                <w:top w:val="none" w:sz="0" w:space="0" w:color="auto"/>
                <w:bottom w:val="none" w:sz="0" w:space="0" w:color="auto"/>
              </w:pBdr>
              <w:ind w:right="113"/>
              <w:jc w:val="right"/>
              <w:rPr>
                <w:rFonts w:ascii="Palatino Linotype" w:hAnsi="Palatino Linotype"/>
                <w:b/>
                <w:bCs/>
                <w:sz w:val="20"/>
                <w:szCs w:val="20"/>
                <w:lang w:eastAsia="en-US"/>
              </w:rPr>
            </w:pPr>
          </w:p>
        </w:tc>
      </w:tr>
    </w:tbl>
    <w:p w:rsidR="00FB5F40" w:rsidRPr="00026244" w:rsidRDefault="00FB5F40" w:rsidP="00221B82"/>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766A11" w:rsidRPr="00026244" w:rsidRDefault="00766A11"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766A11">
      <w:pPr>
        <w:spacing w:after="0"/>
        <w:rPr>
          <w:rFonts w:ascii="Palatino Linotype" w:hAnsi="Palatino Linotype"/>
          <w:b/>
          <w:color w:val="003300"/>
          <w:sz w:val="32"/>
          <w:szCs w:val="32"/>
          <w:lang w:val="tg-Cyrl-TJ"/>
        </w:rPr>
      </w:pPr>
      <w:r w:rsidRPr="00026244">
        <w:rPr>
          <w:rFonts w:ascii="Palatino Linotype" w:hAnsi="Palatino Linotype"/>
          <w:b/>
          <w:color w:val="003300"/>
          <w:sz w:val="32"/>
          <w:szCs w:val="32"/>
          <w:lang w:val="tg-Cyrl-TJ"/>
        </w:rPr>
        <w:lastRenderedPageBreak/>
        <w:t>Отчет о движении денежных средств</w:t>
      </w:r>
    </w:p>
    <w:tbl>
      <w:tblPr>
        <w:tblW w:w="9540" w:type="dxa"/>
        <w:tblInd w:w="-142" w:type="dxa"/>
        <w:tblCellMar>
          <w:top w:w="28" w:type="dxa"/>
          <w:left w:w="0" w:type="dxa"/>
          <w:bottom w:w="28" w:type="dxa"/>
          <w:right w:w="0" w:type="dxa"/>
        </w:tblCellMar>
        <w:tblLook w:val="0000" w:firstRow="0" w:lastRow="0" w:firstColumn="0" w:lastColumn="0" w:noHBand="0" w:noVBand="0"/>
      </w:tblPr>
      <w:tblGrid>
        <w:gridCol w:w="5578"/>
        <w:gridCol w:w="1981"/>
        <w:gridCol w:w="1981"/>
      </w:tblGrid>
      <w:tr w:rsidR="00FB5F40" w:rsidRPr="00026244" w:rsidTr="00221B82">
        <w:trPr>
          <w:tblHeader/>
        </w:trPr>
        <w:tc>
          <w:tcPr>
            <w:tcW w:w="2923" w:type="pct"/>
            <w:tcBorders>
              <w:top w:val="single" w:sz="12" w:space="0" w:color="006600"/>
              <w:bottom w:val="single" w:sz="12" w:space="0" w:color="006600"/>
            </w:tcBorders>
            <w:vAlign w:val="center"/>
          </w:tcPr>
          <w:p w:rsidR="00FB5F40" w:rsidRPr="00026244" w:rsidRDefault="00FB5F40" w:rsidP="00221B82">
            <w:pPr>
              <w:pStyle w:val="TableHeading"/>
              <w:jc w:val="center"/>
              <w:rPr>
                <w:rFonts w:ascii="Palatino Linotype" w:hAnsi="Palatino Linotype"/>
                <w:b w:val="0"/>
                <w:bCs w:val="0"/>
              </w:rPr>
            </w:pPr>
            <w:r w:rsidRPr="00026244">
              <w:rPr>
                <w:rFonts w:ascii="Palatino Linotype" w:hAnsi="Palatino Linotype"/>
                <w:b w:val="0"/>
                <w:bCs w:val="0"/>
                <w:szCs w:val="16"/>
                <w:lang w:val="ru-RU"/>
              </w:rPr>
              <w:t xml:space="preserve">В тысячах таджикских </w:t>
            </w:r>
            <w:proofErr w:type="spellStart"/>
            <w:r w:rsidRPr="00026244">
              <w:rPr>
                <w:rFonts w:ascii="Palatino Linotype" w:hAnsi="Palatino Linotype"/>
                <w:b w:val="0"/>
                <w:bCs w:val="0"/>
                <w:szCs w:val="16"/>
                <w:lang w:val="ru-RU"/>
              </w:rPr>
              <w:t>сомони</w:t>
            </w:r>
            <w:proofErr w:type="spellEnd"/>
          </w:p>
        </w:tc>
        <w:tc>
          <w:tcPr>
            <w:tcW w:w="1038" w:type="pct"/>
            <w:tcBorders>
              <w:top w:val="single" w:sz="12" w:space="0" w:color="006600"/>
              <w:bottom w:val="single" w:sz="12" w:space="0" w:color="006600"/>
            </w:tcBorders>
            <w:vAlign w:val="center"/>
          </w:tcPr>
          <w:p w:rsidR="00FB5F40" w:rsidRPr="00026244" w:rsidRDefault="00FB5F40" w:rsidP="00221B82">
            <w:pPr>
              <w:pStyle w:val="TableHeading"/>
              <w:ind w:right="93"/>
              <w:jc w:val="center"/>
              <w:rPr>
                <w:rFonts w:ascii="Palatino Linotype" w:hAnsi="Palatino Linotype"/>
                <w:lang w:val="ru-RU"/>
              </w:rPr>
            </w:pPr>
            <w:r w:rsidRPr="00026244">
              <w:rPr>
                <w:rFonts w:ascii="Palatino Linotype" w:hAnsi="Palatino Linotype"/>
                <w:lang w:val="ru-RU"/>
              </w:rPr>
              <w:t>За год, закончившийся 31 декабря 2011 года (</w:t>
            </w:r>
            <w:proofErr w:type="spellStart"/>
            <w:r w:rsidRPr="00026244">
              <w:rPr>
                <w:rFonts w:ascii="Palatino Linotype" w:hAnsi="Palatino Linotype"/>
                <w:lang w:val="ru-RU"/>
              </w:rPr>
              <w:t>аудировано</w:t>
            </w:r>
            <w:proofErr w:type="spellEnd"/>
            <w:r w:rsidRPr="00026244">
              <w:rPr>
                <w:rFonts w:ascii="Palatino Linotype" w:hAnsi="Palatino Linotype"/>
                <w:lang w:val="ru-RU"/>
              </w:rPr>
              <w:t>)</w:t>
            </w:r>
          </w:p>
        </w:tc>
        <w:tc>
          <w:tcPr>
            <w:tcW w:w="1038" w:type="pct"/>
            <w:tcBorders>
              <w:top w:val="single" w:sz="12" w:space="0" w:color="006600"/>
              <w:bottom w:val="single" w:sz="12" w:space="0" w:color="006600"/>
            </w:tcBorders>
            <w:vAlign w:val="center"/>
          </w:tcPr>
          <w:p w:rsidR="00FB5F40" w:rsidRPr="00026244" w:rsidRDefault="00FB5F40" w:rsidP="00221B82">
            <w:pPr>
              <w:pStyle w:val="TableHeading"/>
              <w:ind w:right="93"/>
              <w:jc w:val="center"/>
              <w:rPr>
                <w:rFonts w:ascii="Palatino Linotype" w:hAnsi="Palatino Linotype"/>
                <w:b w:val="0"/>
                <w:bCs w:val="0"/>
                <w:lang w:val="ru-RU"/>
              </w:rPr>
            </w:pPr>
            <w:r w:rsidRPr="00026244">
              <w:rPr>
                <w:rFonts w:ascii="Palatino Linotype" w:hAnsi="Palatino Linotype"/>
                <w:b w:val="0"/>
                <w:bCs w:val="0"/>
                <w:lang w:val="ru-RU"/>
              </w:rPr>
              <w:t>За год, закончившийся 31 декабря 2010 года</w:t>
            </w:r>
          </w:p>
          <w:p w:rsidR="00FB5F40" w:rsidRPr="00026244" w:rsidRDefault="00FB5F40" w:rsidP="00221B82">
            <w:pPr>
              <w:pStyle w:val="TableHeading"/>
              <w:tabs>
                <w:tab w:val="left" w:pos="1636"/>
              </w:tabs>
              <w:ind w:right="93"/>
              <w:jc w:val="center"/>
              <w:rPr>
                <w:rFonts w:ascii="Palatino Linotype" w:hAnsi="Palatino Linotype"/>
                <w:lang w:val="ru-RU"/>
              </w:rPr>
            </w:pPr>
            <w:r w:rsidRPr="00026244">
              <w:rPr>
                <w:rFonts w:ascii="Palatino Linotype" w:hAnsi="Palatino Linotype"/>
                <w:b w:val="0"/>
                <w:lang w:val="ru-RU"/>
              </w:rPr>
              <w:t>(</w:t>
            </w:r>
            <w:proofErr w:type="spellStart"/>
            <w:r w:rsidRPr="00026244">
              <w:rPr>
                <w:rFonts w:ascii="Palatino Linotype" w:hAnsi="Palatino Linotype"/>
                <w:b w:val="0"/>
                <w:lang w:val="ru-RU"/>
              </w:rPr>
              <w:t>аудировано</w:t>
            </w:r>
            <w:proofErr w:type="spellEnd"/>
            <w:r w:rsidRPr="00026244">
              <w:rPr>
                <w:rFonts w:ascii="Palatino Linotype" w:hAnsi="Palatino Linotype"/>
                <w:b w:val="0"/>
                <w:lang w:val="ru-RU"/>
              </w:rPr>
              <w:t>)</w:t>
            </w:r>
          </w:p>
        </w:tc>
      </w:tr>
      <w:tr w:rsidR="00FB5F40" w:rsidRPr="00026244" w:rsidTr="00221B82">
        <w:tc>
          <w:tcPr>
            <w:tcW w:w="2923" w:type="pct"/>
            <w:tcBorders>
              <w:top w:val="single" w:sz="12" w:space="0" w:color="006600"/>
            </w:tcBorders>
          </w:tcPr>
          <w:p w:rsidR="00FB5F40" w:rsidRPr="00026244" w:rsidRDefault="00FB5F40" w:rsidP="00061907">
            <w:pPr>
              <w:pStyle w:val="TableText"/>
              <w:ind w:right="113"/>
              <w:rPr>
                <w:rFonts w:ascii="Palatino Linotype" w:hAnsi="Palatino Linotype" w:cs="Arial"/>
                <w:b/>
                <w:sz w:val="16"/>
                <w:szCs w:val="20"/>
                <w:lang w:val="ru-RU" w:eastAsia="en-US"/>
              </w:rPr>
            </w:pPr>
            <w:r w:rsidRPr="00026244">
              <w:rPr>
                <w:rFonts w:ascii="Palatino Linotype" w:hAnsi="Palatino Linotype" w:cs="Arial"/>
                <w:b/>
                <w:iCs/>
                <w:sz w:val="16"/>
                <w:szCs w:val="20"/>
                <w:lang w:val="ru-RU" w:eastAsia="en-US"/>
              </w:rPr>
              <w:t>Денежные средства от операционной деятельности</w:t>
            </w:r>
          </w:p>
        </w:tc>
        <w:tc>
          <w:tcPr>
            <w:tcW w:w="1038" w:type="pct"/>
            <w:tcBorders>
              <w:top w:val="single" w:sz="12" w:space="0" w:color="006600"/>
            </w:tcBorders>
            <w:vAlign w:val="center"/>
          </w:tcPr>
          <w:p w:rsidR="00FB5F40" w:rsidRPr="00026244" w:rsidRDefault="00FB5F40" w:rsidP="00061907">
            <w:pPr>
              <w:pStyle w:val="TableText"/>
              <w:ind w:right="113"/>
              <w:jc w:val="both"/>
              <w:rPr>
                <w:rFonts w:ascii="Palatino Linotype" w:hAnsi="Palatino Linotype" w:cs="Arial"/>
                <w:b/>
                <w:sz w:val="16"/>
                <w:szCs w:val="20"/>
                <w:lang w:val="ru-RU" w:eastAsia="en-US"/>
              </w:rPr>
            </w:pPr>
          </w:p>
        </w:tc>
        <w:tc>
          <w:tcPr>
            <w:tcW w:w="1038" w:type="pct"/>
            <w:tcBorders>
              <w:top w:val="single" w:sz="12" w:space="0" w:color="006600"/>
            </w:tcBorders>
            <w:vAlign w:val="center"/>
          </w:tcPr>
          <w:p w:rsidR="00FB5F40" w:rsidRPr="00026244" w:rsidRDefault="00FB5F40" w:rsidP="00061907">
            <w:pPr>
              <w:pStyle w:val="TableText"/>
              <w:ind w:right="113"/>
              <w:jc w:val="both"/>
              <w:rPr>
                <w:rFonts w:ascii="Palatino Linotype" w:hAnsi="Palatino Linotype" w:cs="Arial"/>
                <w:sz w:val="16"/>
                <w:szCs w:val="20"/>
                <w:lang w:val="ru-RU" w:eastAsia="en-US"/>
              </w:rPr>
            </w:pP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val="en-US" w:eastAsia="en-US"/>
              </w:rPr>
            </w:pPr>
            <w:proofErr w:type="spellStart"/>
            <w:r w:rsidRPr="00026244">
              <w:rPr>
                <w:rFonts w:ascii="Palatino Linotype" w:hAnsi="Palatino Linotype" w:cs="Arial"/>
                <w:sz w:val="16"/>
                <w:szCs w:val="20"/>
                <w:lang w:val="en-US" w:eastAsia="en-US"/>
              </w:rPr>
              <w:t>Прибыльдоналогооблажения</w:t>
            </w:r>
            <w:proofErr w:type="spellEnd"/>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16,697</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7,873</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i/>
                <w:sz w:val="16"/>
                <w:szCs w:val="20"/>
                <w:lang w:val="en-US" w:eastAsia="en-US"/>
              </w:rPr>
            </w:pPr>
            <w:proofErr w:type="spellStart"/>
            <w:r w:rsidRPr="00026244">
              <w:rPr>
                <w:rFonts w:ascii="Palatino Linotype" w:hAnsi="Palatino Linotype" w:cs="Arial"/>
                <w:b/>
                <w:i/>
                <w:sz w:val="16"/>
                <w:szCs w:val="20"/>
                <w:lang w:val="en-US" w:eastAsia="en-US"/>
              </w:rPr>
              <w:t>Поправки</w:t>
            </w:r>
            <w:proofErr w:type="spellEnd"/>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val="ru-RU" w:eastAsia="en-US"/>
              </w:rPr>
            </w:pPr>
            <w:r w:rsidRPr="00026244">
              <w:rPr>
                <w:rFonts w:ascii="Palatino Linotype" w:hAnsi="Palatino Linotype" w:cs="Arial"/>
                <w:sz w:val="16"/>
                <w:szCs w:val="20"/>
                <w:lang w:val="ru-RU" w:eastAsia="en-US"/>
              </w:rPr>
              <w:t>Увеличение/(уменьшение) резерва по обесценению</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14,427</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(984)</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val="ru-RU" w:eastAsia="en-US"/>
              </w:rPr>
            </w:pPr>
            <w:r w:rsidRPr="00026244">
              <w:rPr>
                <w:rFonts w:ascii="Palatino Linotype" w:hAnsi="Palatino Linotype" w:cs="Arial"/>
                <w:sz w:val="16"/>
                <w:szCs w:val="20"/>
                <w:lang w:val="ru-RU" w:eastAsia="en-US"/>
              </w:rPr>
              <w:t xml:space="preserve">Чистый убыток от переоценки иностранной валюты активов и пассивов, не предназначенных для торговли </w:t>
            </w:r>
          </w:p>
        </w:tc>
        <w:tc>
          <w:tcPr>
            <w:tcW w:w="1038" w:type="pct"/>
          </w:tcPr>
          <w:p w:rsidR="00FB5F40" w:rsidRPr="00026244" w:rsidRDefault="00FB5F40" w:rsidP="00061907">
            <w:pPr>
              <w:pStyle w:val="TableText"/>
              <w:ind w:right="113"/>
              <w:jc w:val="right"/>
              <w:rPr>
                <w:rFonts w:ascii="Palatino Linotype" w:hAnsi="Palatino Linotype" w:cs="Arial"/>
                <w:sz w:val="16"/>
                <w:szCs w:val="20"/>
                <w:lang w:val="en-US" w:eastAsia="en-US"/>
              </w:rPr>
            </w:pPr>
            <w:r w:rsidRPr="00026244">
              <w:rPr>
                <w:rFonts w:ascii="Palatino Linotype" w:hAnsi="Palatino Linotype" w:cs="Arial"/>
                <w:sz w:val="16"/>
                <w:szCs w:val="20"/>
                <w:lang w:val="en-US" w:eastAsia="en-US"/>
              </w:rPr>
              <w:t>776</w:t>
            </w:r>
          </w:p>
        </w:tc>
        <w:tc>
          <w:tcPr>
            <w:tcW w:w="1038" w:type="pct"/>
          </w:tcPr>
          <w:p w:rsidR="00FB5F40" w:rsidRPr="00026244" w:rsidRDefault="00FB5F40" w:rsidP="00061907">
            <w:pPr>
              <w:pStyle w:val="TableText"/>
              <w:ind w:right="113"/>
              <w:jc w:val="right"/>
              <w:rPr>
                <w:rFonts w:ascii="Palatino Linotype" w:hAnsi="Palatino Linotype" w:cs="Arial"/>
                <w:sz w:val="16"/>
                <w:szCs w:val="20"/>
                <w:lang w:val="en-US" w:eastAsia="en-US"/>
              </w:rPr>
            </w:pPr>
            <w:r w:rsidRPr="00026244">
              <w:rPr>
                <w:rFonts w:ascii="Palatino Linotype" w:hAnsi="Palatino Linotype" w:cs="Arial"/>
                <w:sz w:val="16"/>
                <w:szCs w:val="20"/>
                <w:lang w:val="en-US" w:eastAsia="en-US"/>
              </w:rPr>
              <w:t>603</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val="ru-RU" w:eastAsia="en-US"/>
              </w:rPr>
            </w:pPr>
            <w:r w:rsidRPr="00026244">
              <w:rPr>
                <w:rFonts w:ascii="Palatino Linotype" w:hAnsi="Palatino Linotype" w:cs="Arial"/>
                <w:sz w:val="16"/>
                <w:szCs w:val="20"/>
                <w:lang w:val="ru-RU" w:eastAsia="en-US"/>
              </w:rPr>
              <w:t>Амортизационные отчисления</w:t>
            </w:r>
          </w:p>
        </w:tc>
        <w:tc>
          <w:tcPr>
            <w:tcW w:w="1038" w:type="pct"/>
          </w:tcPr>
          <w:p w:rsidR="00FB5F40" w:rsidRPr="00026244" w:rsidRDefault="00FB5F40" w:rsidP="00061907">
            <w:pPr>
              <w:pStyle w:val="TableText"/>
              <w:ind w:right="113"/>
              <w:jc w:val="right"/>
              <w:rPr>
                <w:rFonts w:ascii="Palatino Linotype" w:hAnsi="Palatino Linotype" w:cs="Arial"/>
                <w:sz w:val="16"/>
                <w:szCs w:val="20"/>
                <w:lang w:val="en-US" w:eastAsia="en-US"/>
              </w:rPr>
            </w:pPr>
            <w:r w:rsidRPr="00026244">
              <w:rPr>
                <w:rFonts w:ascii="Palatino Linotype" w:hAnsi="Palatino Linotype" w:cs="Arial"/>
                <w:sz w:val="16"/>
                <w:szCs w:val="20"/>
                <w:lang w:val="en-US" w:eastAsia="en-US"/>
              </w:rPr>
              <w:t>5,344</w:t>
            </w:r>
          </w:p>
        </w:tc>
        <w:tc>
          <w:tcPr>
            <w:tcW w:w="1038" w:type="pct"/>
          </w:tcPr>
          <w:p w:rsidR="00FB5F40" w:rsidRPr="00026244" w:rsidRDefault="00FB5F40" w:rsidP="00061907">
            <w:pPr>
              <w:pStyle w:val="TableText"/>
              <w:ind w:right="113"/>
              <w:jc w:val="right"/>
              <w:rPr>
                <w:rFonts w:ascii="Palatino Linotype" w:hAnsi="Palatino Linotype" w:cs="Arial"/>
                <w:sz w:val="16"/>
                <w:szCs w:val="20"/>
                <w:lang w:val="en-US" w:eastAsia="en-US"/>
              </w:rPr>
            </w:pPr>
            <w:r w:rsidRPr="00026244">
              <w:rPr>
                <w:rFonts w:ascii="Palatino Linotype" w:hAnsi="Palatino Linotype" w:cs="Arial"/>
                <w:sz w:val="16"/>
                <w:szCs w:val="20"/>
                <w:lang w:val="en-US" w:eastAsia="en-US"/>
              </w:rPr>
              <w:t>3,014</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val="ru-RU" w:eastAsia="en-US"/>
              </w:rPr>
            </w:pPr>
            <w:r w:rsidRPr="00026244">
              <w:rPr>
                <w:rFonts w:ascii="Palatino Linotype" w:hAnsi="Palatino Linotype" w:cs="Arial"/>
                <w:sz w:val="16"/>
                <w:szCs w:val="20"/>
                <w:lang w:val="ru-RU" w:eastAsia="en-US"/>
              </w:rPr>
              <w:t>Убыток от продажи основных средств</w:t>
            </w:r>
          </w:p>
        </w:tc>
        <w:tc>
          <w:tcPr>
            <w:tcW w:w="1038" w:type="pct"/>
          </w:tcPr>
          <w:p w:rsidR="00FB5F40" w:rsidRPr="00026244" w:rsidRDefault="00FB5F40" w:rsidP="00061907">
            <w:pPr>
              <w:pStyle w:val="TableText"/>
              <w:ind w:right="113"/>
              <w:jc w:val="right"/>
              <w:rPr>
                <w:rFonts w:ascii="Palatino Linotype" w:hAnsi="Palatino Linotype" w:cs="Arial"/>
                <w:sz w:val="16"/>
                <w:szCs w:val="20"/>
                <w:lang w:val="en-US" w:eastAsia="en-US"/>
              </w:rPr>
            </w:pPr>
            <w:r w:rsidRPr="00026244">
              <w:rPr>
                <w:rFonts w:ascii="Palatino Linotype" w:hAnsi="Palatino Linotype" w:cs="Arial"/>
                <w:sz w:val="16"/>
                <w:szCs w:val="20"/>
                <w:lang w:val="en-US" w:eastAsia="en-US"/>
              </w:rPr>
              <w:t>27</w:t>
            </w:r>
          </w:p>
        </w:tc>
        <w:tc>
          <w:tcPr>
            <w:tcW w:w="1038" w:type="pct"/>
          </w:tcPr>
          <w:p w:rsidR="00FB5F40" w:rsidRPr="00026244" w:rsidRDefault="00FB5F40" w:rsidP="00061907">
            <w:pPr>
              <w:pStyle w:val="TableText"/>
              <w:ind w:right="113"/>
              <w:jc w:val="right"/>
              <w:rPr>
                <w:rFonts w:ascii="Palatino Linotype" w:hAnsi="Palatino Linotype" w:cs="Arial"/>
                <w:sz w:val="16"/>
                <w:szCs w:val="20"/>
                <w:lang w:val="en-US" w:eastAsia="en-US"/>
              </w:rPr>
            </w:pPr>
            <w:r w:rsidRPr="00026244">
              <w:rPr>
                <w:rFonts w:ascii="Palatino Linotype" w:hAnsi="Palatino Linotype" w:cs="Arial"/>
                <w:sz w:val="16"/>
                <w:szCs w:val="20"/>
                <w:lang w:val="en-US" w:eastAsia="en-US"/>
              </w:rPr>
              <w:t>-</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eastAsia="en-US"/>
              </w:rPr>
            </w:pPr>
            <w:proofErr w:type="spellStart"/>
            <w:r w:rsidRPr="00026244">
              <w:rPr>
                <w:rFonts w:ascii="Palatino Linotype" w:hAnsi="Palatino Linotype" w:cs="Arial"/>
                <w:sz w:val="16"/>
                <w:szCs w:val="20"/>
                <w:lang w:eastAsia="en-US"/>
              </w:rPr>
              <w:t>Процентыполученные</w:t>
            </w:r>
            <w:proofErr w:type="spellEnd"/>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1,094</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1,824</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val="en-US" w:eastAsia="en-US"/>
              </w:rPr>
            </w:pPr>
            <w:proofErr w:type="spellStart"/>
            <w:r w:rsidRPr="00026244">
              <w:rPr>
                <w:rFonts w:ascii="Palatino Linotype" w:hAnsi="Palatino Linotype" w:cs="Arial"/>
                <w:sz w:val="16"/>
                <w:szCs w:val="20"/>
                <w:lang w:val="en-US" w:eastAsia="en-US"/>
              </w:rPr>
              <w:t>Процентывыплаченные</w:t>
            </w:r>
            <w:proofErr w:type="spellEnd"/>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6,685</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1,854</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sz w:val="16"/>
                <w:szCs w:val="16"/>
                <w:lang w:val="ru-RU" w:eastAsia="en-US"/>
              </w:rPr>
            </w:pPr>
            <w:r w:rsidRPr="00026244">
              <w:rPr>
                <w:rFonts w:ascii="Palatino Linotype" w:hAnsi="Palatino Linotype" w:cs="Arial"/>
                <w:b/>
                <w:iCs/>
                <w:sz w:val="16"/>
                <w:szCs w:val="16"/>
                <w:lang w:val="ru-RU" w:eastAsia="en-US"/>
              </w:rPr>
              <w:t>Денежные средства, полученные от операционной деятельности до изменения в операционных активах и обязательствах</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45,050</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14,184</w:t>
            </w:r>
          </w:p>
        </w:tc>
      </w:tr>
      <w:tr w:rsidR="00FB5F40" w:rsidRPr="00026244" w:rsidTr="00221B82">
        <w:tc>
          <w:tcPr>
            <w:tcW w:w="2923" w:type="pct"/>
          </w:tcPr>
          <w:p w:rsidR="00FB5F40" w:rsidRPr="00026244" w:rsidRDefault="00FB5F40" w:rsidP="00061907">
            <w:pPr>
              <w:pStyle w:val="TableText"/>
              <w:rPr>
                <w:rFonts w:ascii="Palatino Linotype" w:hAnsi="Palatino Linotype" w:cs="Arial"/>
                <w:bCs/>
                <w:sz w:val="16"/>
                <w:szCs w:val="20"/>
                <w:lang w:val="ru-RU" w:eastAsia="en-US"/>
              </w:rPr>
            </w:pPr>
            <w:r w:rsidRPr="00026244">
              <w:rPr>
                <w:rFonts w:ascii="Palatino Linotype" w:hAnsi="Palatino Linotype" w:cs="Arial"/>
                <w:i/>
                <w:sz w:val="16"/>
                <w:szCs w:val="20"/>
                <w:lang w:val="ru-RU" w:eastAsia="en-US"/>
              </w:rPr>
              <w:t>(Прирост)/снижение операционных активов</w:t>
            </w:r>
          </w:p>
        </w:tc>
        <w:tc>
          <w:tcPr>
            <w:tcW w:w="1038" w:type="pct"/>
          </w:tcPr>
          <w:p w:rsidR="00FB5F40" w:rsidRPr="00026244" w:rsidRDefault="00FB5F40" w:rsidP="00061907">
            <w:pPr>
              <w:pStyle w:val="TableText"/>
              <w:ind w:right="113"/>
              <w:jc w:val="right"/>
              <w:rPr>
                <w:rFonts w:ascii="Palatino Linotype" w:hAnsi="Palatino Linotype" w:cs="Arial"/>
                <w:b/>
                <w:sz w:val="16"/>
                <w:szCs w:val="20"/>
                <w:lang w:eastAsia="en-US"/>
              </w:rPr>
            </w:pP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p>
        </w:tc>
      </w:tr>
      <w:tr w:rsidR="00FB5F40" w:rsidRPr="00026244" w:rsidTr="00221B82">
        <w:tc>
          <w:tcPr>
            <w:tcW w:w="2923" w:type="pct"/>
          </w:tcPr>
          <w:p w:rsidR="00FB5F40" w:rsidRPr="00026244" w:rsidRDefault="00FB5F40" w:rsidP="00061907">
            <w:pPr>
              <w:pStyle w:val="TableText"/>
              <w:rPr>
                <w:rFonts w:ascii="Palatino Linotype" w:hAnsi="Palatino Linotype" w:cs="Arial"/>
                <w:bCs/>
                <w:sz w:val="16"/>
                <w:szCs w:val="20"/>
                <w:lang w:val="ru-RU" w:eastAsia="en-US"/>
              </w:rPr>
            </w:pPr>
            <w:r w:rsidRPr="00026244">
              <w:rPr>
                <w:rFonts w:ascii="Palatino Linotype" w:hAnsi="Palatino Linotype" w:cs="Arial"/>
                <w:bCs/>
                <w:sz w:val="16"/>
                <w:szCs w:val="20"/>
                <w:lang w:val="ru-RU" w:eastAsia="en-US"/>
              </w:rPr>
              <w:t>Обязательный резерв в  Национальном Банке Таджикистана</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(26,145)</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(7,897)</w:t>
            </w:r>
          </w:p>
        </w:tc>
      </w:tr>
      <w:tr w:rsidR="00FB5F40" w:rsidRPr="00026244" w:rsidTr="00221B82">
        <w:tc>
          <w:tcPr>
            <w:tcW w:w="2923" w:type="pct"/>
          </w:tcPr>
          <w:p w:rsidR="00FB5F40" w:rsidRPr="00026244" w:rsidRDefault="00FB5F40" w:rsidP="00061907">
            <w:pPr>
              <w:pStyle w:val="TableText"/>
              <w:rPr>
                <w:rFonts w:ascii="Palatino Linotype" w:hAnsi="Palatino Linotype" w:cs="Arial"/>
                <w:i/>
                <w:sz w:val="16"/>
                <w:szCs w:val="20"/>
                <w:lang w:val="ru-RU" w:eastAsia="en-US"/>
              </w:rPr>
            </w:pPr>
            <w:r w:rsidRPr="00026244">
              <w:rPr>
                <w:rFonts w:ascii="Palatino Linotype" w:hAnsi="Palatino Linotype" w:cs="Arial"/>
                <w:bCs/>
                <w:sz w:val="16"/>
                <w:szCs w:val="20"/>
                <w:lang w:val="ru-RU" w:eastAsia="en-US"/>
              </w:rPr>
              <w:t>Средства в других финансовых организациях</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1,968</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(17,042)</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proofErr w:type="spellStart"/>
            <w:r w:rsidRPr="00026244">
              <w:rPr>
                <w:rFonts w:ascii="Palatino Linotype" w:hAnsi="Palatino Linotype" w:cs="Arial"/>
                <w:bCs/>
                <w:sz w:val="16"/>
                <w:szCs w:val="20"/>
                <w:lang w:val="ru-RU" w:eastAsia="en-US"/>
              </w:rPr>
              <w:t>Кредитыиавансыклиентам</w:t>
            </w:r>
            <w:proofErr w:type="spellEnd"/>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(65,489)</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(23,389)</w:t>
            </w:r>
          </w:p>
        </w:tc>
      </w:tr>
      <w:tr w:rsidR="00FB5F40" w:rsidRPr="00026244" w:rsidTr="00221B82">
        <w:tc>
          <w:tcPr>
            <w:tcW w:w="2923" w:type="pct"/>
          </w:tcPr>
          <w:p w:rsidR="00FB5F40" w:rsidRPr="00026244" w:rsidRDefault="00FB5F40" w:rsidP="00061907">
            <w:pPr>
              <w:pStyle w:val="TableText"/>
              <w:rPr>
                <w:rFonts w:ascii="Palatino Linotype" w:hAnsi="Palatino Linotype" w:cs="Arial"/>
                <w:i/>
                <w:sz w:val="16"/>
                <w:szCs w:val="20"/>
                <w:lang w:val="ru-RU" w:eastAsia="en-US"/>
              </w:rPr>
            </w:pPr>
            <w:r w:rsidRPr="00026244">
              <w:rPr>
                <w:rFonts w:ascii="Palatino Linotype" w:hAnsi="Palatino Linotype" w:cs="Arial"/>
                <w:sz w:val="16"/>
                <w:szCs w:val="20"/>
                <w:lang w:val="ru-RU" w:eastAsia="en-US"/>
              </w:rPr>
              <w:t>Прочие активы</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6,284</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3,483</w:t>
            </w:r>
          </w:p>
        </w:tc>
      </w:tr>
      <w:tr w:rsidR="00FB5F40" w:rsidRPr="00026244" w:rsidTr="00221B82">
        <w:tc>
          <w:tcPr>
            <w:tcW w:w="2923" w:type="pct"/>
          </w:tcPr>
          <w:p w:rsidR="00FB5F40" w:rsidRPr="00026244" w:rsidRDefault="00FB5F40" w:rsidP="00061907">
            <w:pPr>
              <w:pStyle w:val="TableText"/>
              <w:rPr>
                <w:rFonts w:ascii="Palatino Linotype" w:hAnsi="Palatino Linotype" w:cs="Arial"/>
                <w:i/>
                <w:sz w:val="16"/>
                <w:szCs w:val="20"/>
                <w:lang w:eastAsia="en-US"/>
              </w:rPr>
            </w:pPr>
            <w:r w:rsidRPr="00026244">
              <w:rPr>
                <w:rFonts w:ascii="Palatino Linotype" w:hAnsi="Palatino Linotype" w:cs="Arial"/>
                <w:i/>
                <w:sz w:val="16"/>
                <w:szCs w:val="20"/>
                <w:lang w:val="ru-RU" w:eastAsia="en-US"/>
              </w:rPr>
              <w:t>Прирост/(снижение) операционных обязательств</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r w:rsidRPr="00026244">
              <w:rPr>
                <w:rFonts w:ascii="Palatino Linotype" w:hAnsi="Palatino Linotype" w:cs="Arial"/>
                <w:sz w:val="16"/>
                <w:szCs w:val="20"/>
                <w:lang w:val="ru-RU" w:eastAsia="en-US"/>
              </w:rPr>
              <w:t>Средства финансовых организаций</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4,496</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30,798</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r w:rsidRPr="00026244">
              <w:rPr>
                <w:rFonts w:ascii="Palatino Linotype" w:hAnsi="Palatino Linotype" w:cs="Arial"/>
                <w:sz w:val="16"/>
                <w:szCs w:val="20"/>
                <w:lang w:val="ru-RU" w:eastAsia="en-US"/>
              </w:rPr>
              <w:t>Средства клиентов</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117,298</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180,768</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r w:rsidRPr="00026244">
              <w:rPr>
                <w:rFonts w:ascii="Palatino Linotype" w:hAnsi="Palatino Linotype" w:cs="Arial"/>
                <w:sz w:val="16"/>
                <w:szCs w:val="20"/>
                <w:lang w:val="ru-RU" w:eastAsia="en-US"/>
              </w:rPr>
              <w:t>Прочие обязательства</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1,269</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5,079</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sz w:val="16"/>
                <w:szCs w:val="20"/>
                <w:lang w:val="ru-RU" w:eastAsia="en-US"/>
              </w:rPr>
            </w:pPr>
            <w:r w:rsidRPr="00026244">
              <w:rPr>
                <w:rFonts w:ascii="Palatino Linotype" w:hAnsi="Palatino Linotype" w:cs="Arial"/>
                <w:b/>
                <w:iCs/>
                <w:sz w:val="16"/>
                <w:szCs w:val="20"/>
                <w:lang w:val="ru-RU" w:eastAsia="en-US"/>
              </w:rPr>
              <w:t>Чистые денежные средства, полученные от операционной деятельности, до налогообложения</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84,731</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185,984</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r w:rsidRPr="00026244">
              <w:rPr>
                <w:rFonts w:ascii="Palatino Linotype" w:hAnsi="Palatino Linotype" w:cs="Arial"/>
                <w:sz w:val="16"/>
                <w:szCs w:val="20"/>
                <w:lang w:val="ru-RU" w:eastAsia="en-US"/>
              </w:rPr>
              <w:t>Налог на прибыль выплаченный</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(5,067)</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(3,393)</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bCs/>
                <w:sz w:val="16"/>
                <w:szCs w:val="20"/>
                <w:lang w:val="ru-RU" w:eastAsia="en-US"/>
              </w:rPr>
            </w:pPr>
            <w:r w:rsidRPr="00026244">
              <w:rPr>
                <w:rFonts w:ascii="Palatino Linotype" w:hAnsi="Palatino Linotype" w:cs="Arial"/>
                <w:b/>
                <w:iCs/>
                <w:sz w:val="16"/>
                <w:szCs w:val="20"/>
                <w:lang w:val="ru-RU" w:eastAsia="en-US"/>
              </w:rPr>
              <w:t xml:space="preserve">Чистые денежные средства, полученные </w:t>
            </w:r>
            <w:proofErr w:type="spellStart"/>
            <w:r w:rsidRPr="00026244">
              <w:rPr>
                <w:rFonts w:ascii="Palatino Linotype" w:hAnsi="Palatino Linotype" w:cs="Arial"/>
                <w:b/>
                <w:iCs/>
                <w:sz w:val="16"/>
                <w:szCs w:val="20"/>
                <w:lang w:val="ru-RU" w:eastAsia="en-US"/>
              </w:rPr>
              <w:t>отоперационной</w:t>
            </w:r>
            <w:proofErr w:type="spellEnd"/>
            <w:r w:rsidRPr="00026244">
              <w:rPr>
                <w:rFonts w:ascii="Palatino Linotype" w:hAnsi="Palatino Linotype" w:cs="Arial"/>
                <w:b/>
                <w:iCs/>
                <w:sz w:val="16"/>
                <w:szCs w:val="20"/>
                <w:lang w:val="ru-RU" w:eastAsia="en-US"/>
              </w:rPr>
              <w:t xml:space="preserve"> деятельности</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79,664</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182,591</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iCs/>
                <w:sz w:val="16"/>
                <w:szCs w:val="20"/>
                <w:lang w:val="ru-RU" w:eastAsia="en-US"/>
              </w:rPr>
            </w:pPr>
            <w:r w:rsidRPr="00026244">
              <w:rPr>
                <w:rFonts w:ascii="Palatino Linotype" w:hAnsi="Palatino Linotype" w:cs="Arial"/>
                <w:b/>
                <w:iCs/>
                <w:sz w:val="16"/>
                <w:szCs w:val="20"/>
                <w:lang w:val="ru-RU" w:eastAsia="en-US"/>
              </w:rPr>
              <w:t>Денежные средства от инвестиционной деятельности</w:t>
            </w:r>
          </w:p>
        </w:tc>
        <w:tc>
          <w:tcPr>
            <w:tcW w:w="1038" w:type="pct"/>
          </w:tcPr>
          <w:p w:rsidR="00FB5F40" w:rsidRPr="00026244" w:rsidRDefault="00FB5F40" w:rsidP="00061907">
            <w:pPr>
              <w:pStyle w:val="tabelt"/>
              <w:ind w:right="93"/>
              <w:rPr>
                <w:rFonts w:ascii="Palatino Linotype" w:hAnsi="Palatino Linotype"/>
                <w:lang w:val="ru-RU"/>
              </w:rPr>
            </w:pPr>
          </w:p>
        </w:tc>
        <w:tc>
          <w:tcPr>
            <w:tcW w:w="1038" w:type="pct"/>
          </w:tcPr>
          <w:p w:rsidR="00FB5F40" w:rsidRPr="00026244" w:rsidRDefault="00FB5F40" w:rsidP="00061907">
            <w:pPr>
              <w:pStyle w:val="tabelt"/>
              <w:ind w:right="93"/>
              <w:rPr>
                <w:rFonts w:ascii="Palatino Linotype" w:hAnsi="Palatino Linotype"/>
                <w:lang w:val="ru-RU"/>
              </w:rPr>
            </w:pP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r w:rsidRPr="00026244">
              <w:rPr>
                <w:rFonts w:ascii="Palatino Linotype" w:hAnsi="Palatino Linotype" w:cs="Arial"/>
                <w:sz w:val="16"/>
                <w:szCs w:val="20"/>
                <w:lang w:val="ru-RU" w:eastAsia="en-US"/>
              </w:rPr>
              <w:t>Покупка инвестиционных финансовых активов</w:t>
            </w:r>
          </w:p>
        </w:tc>
        <w:tc>
          <w:tcPr>
            <w:tcW w:w="1038" w:type="pct"/>
          </w:tcPr>
          <w:p w:rsidR="00FB5F40" w:rsidRPr="00026244" w:rsidRDefault="00FB5F40" w:rsidP="00061907">
            <w:pPr>
              <w:pStyle w:val="TableText"/>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(11,000)</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r w:rsidRPr="00026244">
              <w:rPr>
                <w:rFonts w:ascii="Palatino Linotype" w:hAnsi="Palatino Linotype" w:cs="Arial"/>
                <w:sz w:val="16"/>
                <w:szCs w:val="20"/>
                <w:lang w:val="ru-RU" w:eastAsia="en-US"/>
              </w:rPr>
              <w:t>Покупка основных средств</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(8,507)</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(33,777)</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val="ru-RU" w:eastAsia="en-US"/>
              </w:rPr>
            </w:pPr>
            <w:r w:rsidRPr="00026244">
              <w:rPr>
                <w:rFonts w:ascii="Palatino Linotype" w:hAnsi="Palatino Linotype" w:cs="Arial"/>
                <w:sz w:val="16"/>
                <w:szCs w:val="20"/>
                <w:lang w:val="ru-RU" w:eastAsia="en-US"/>
              </w:rPr>
              <w:t>Выручка от реализации основных средств</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1,065</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val="en-US" w:eastAsia="en-US"/>
              </w:rPr>
            </w:pPr>
            <w:r w:rsidRPr="00026244">
              <w:rPr>
                <w:rFonts w:ascii="Palatino Linotype" w:hAnsi="Palatino Linotype" w:cs="Arial"/>
                <w:sz w:val="16"/>
                <w:szCs w:val="20"/>
                <w:lang w:val="ru-RU" w:eastAsia="en-US"/>
              </w:rPr>
              <w:t>Покупка</w:t>
            </w:r>
            <w:proofErr w:type="spellStart"/>
            <w:r w:rsidRPr="00026244">
              <w:rPr>
                <w:rFonts w:ascii="Palatino Linotype" w:hAnsi="Palatino Linotype" w:cs="Arial"/>
                <w:sz w:val="16"/>
                <w:szCs w:val="20"/>
                <w:lang w:val="en-US" w:eastAsia="en-US"/>
              </w:rPr>
              <w:t>нематерилаьныхактивов</w:t>
            </w:r>
            <w:proofErr w:type="spellEnd"/>
          </w:p>
        </w:tc>
        <w:tc>
          <w:tcPr>
            <w:tcW w:w="1038" w:type="pct"/>
          </w:tcPr>
          <w:p w:rsidR="00FB5F40" w:rsidRPr="00026244" w:rsidRDefault="00FB5F40" w:rsidP="00061907">
            <w:pPr>
              <w:pStyle w:val="TableText"/>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(169)</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sz w:val="16"/>
                <w:szCs w:val="20"/>
                <w:lang w:val="ru-RU" w:eastAsia="en-US"/>
              </w:rPr>
            </w:pPr>
            <w:r w:rsidRPr="00026244">
              <w:rPr>
                <w:rFonts w:ascii="Palatino Linotype" w:hAnsi="Palatino Linotype" w:cs="Arial"/>
                <w:b/>
                <w:sz w:val="16"/>
                <w:szCs w:val="20"/>
                <w:lang w:val="ru-RU" w:eastAsia="en-US"/>
              </w:rPr>
              <w:t>Чистые денежные средства использованные в инвестиционной деятельности</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(7,442)</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(44,946)</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iCs/>
                <w:sz w:val="16"/>
                <w:szCs w:val="20"/>
                <w:lang w:val="ru-RU" w:eastAsia="en-US"/>
              </w:rPr>
            </w:pPr>
            <w:r w:rsidRPr="00026244">
              <w:rPr>
                <w:rFonts w:ascii="Palatino Linotype" w:hAnsi="Palatino Linotype" w:cs="Arial"/>
                <w:b/>
                <w:iCs/>
                <w:sz w:val="16"/>
                <w:szCs w:val="20"/>
                <w:lang w:val="ru-RU" w:eastAsia="en-US"/>
              </w:rPr>
              <w:t>Денежные средства от финансовой деятельности</w:t>
            </w:r>
          </w:p>
        </w:tc>
        <w:tc>
          <w:tcPr>
            <w:tcW w:w="1038" w:type="pct"/>
          </w:tcPr>
          <w:p w:rsidR="00FB5F40" w:rsidRPr="00026244" w:rsidRDefault="00FB5F40" w:rsidP="00061907">
            <w:pPr>
              <w:pStyle w:val="tabelt"/>
              <w:ind w:right="93"/>
              <w:rPr>
                <w:rFonts w:ascii="Palatino Linotype" w:hAnsi="Palatino Linotype"/>
                <w:b/>
                <w:lang w:val="ru-RU"/>
              </w:rPr>
            </w:pPr>
          </w:p>
        </w:tc>
        <w:tc>
          <w:tcPr>
            <w:tcW w:w="1038" w:type="pct"/>
          </w:tcPr>
          <w:p w:rsidR="00FB5F40" w:rsidRPr="00026244" w:rsidRDefault="00FB5F40" w:rsidP="00061907">
            <w:pPr>
              <w:pStyle w:val="tabelt"/>
              <w:tabs>
                <w:tab w:val="left" w:pos="1446"/>
              </w:tabs>
              <w:ind w:right="93"/>
              <w:rPr>
                <w:rFonts w:ascii="Palatino Linotype" w:hAnsi="Palatino Linotype"/>
                <w:lang w:val="ru-RU"/>
              </w:rPr>
            </w:pP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eastAsia="en-US"/>
              </w:rPr>
            </w:pPr>
            <w:r w:rsidRPr="00026244">
              <w:rPr>
                <w:rFonts w:ascii="Palatino Linotype" w:hAnsi="Palatino Linotype" w:cs="Arial"/>
                <w:iCs/>
                <w:sz w:val="16"/>
                <w:szCs w:val="20"/>
                <w:lang w:val="ru-RU" w:eastAsia="en-US"/>
              </w:rPr>
              <w:t>Поступления от выпуска акций</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6,000</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6,000</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val="ru-RU" w:eastAsia="en-US"/>
              </w:rPr>
            </w:pPr>
            <w:proofErr w:type="spellStart"/>
            <w:r w:rsidRPr="00026244">
              <w:rPr>
                <w:rFonts w:ascii="Palatino Linotype" w:hAnsi="Palatino Linotype" w:cs="Arial"/>
                <w:sz w:val="16"/>
                <w:szCs w:val="20"/>
                <w:lang w:val="en-US" w:eastAsia="en-US"/>
              </w:rPr>
              <w:t>Внутрибанковскиекредиты</w:t>
            </w:r>
            <w:proofErr w:type="spellEnd"/>
            <w:r w:rsidRPr="00026244">
              <w:rPr>
                <w:rFonts w:ascii="Palatino Linotype" w:hAnsi="Palatino Linotype" w:cs="Arial"/>
                <w:sz w:val="16"/>
                <w:szCs w:val="20"/>
                <w:lang w:val="en-US" w:eastAsia="en-US"/>
              </w:rPr>
              <w:t xml:space="preserve"> и </w:t>
            </w:r>
            <w:proofErr w:type="spellStart"/>
            <w:r w:rsidRPr="00026244">
              <w:rPr>
                <w:rFonts w:ascii="Palatino Linotype" w:hAnsi="Palatino Linotype" w:cs="Arial"/>
                <w:sz w:val="16"/>
                <w:szCs w:val="20"/>
                <w:lang w:val="en-US" w:eastAsia="en-US"/>
              </w:rPr>
              <w:t>депозиты</w:t>
            </w:r>
            <w:proofErr w:type="spellEnd"/>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2,882</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(1,487)</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sz w:val="16"/>
                <w:szCs w:val="20"/>
                <w:lang w:val="ru-RU" w:eastAsia="en-US"/>
              </w:rPr>
            </w:pPr>
            <w:r w:rsidRPr="00026244">
              <w:rPr>
                <w:rFonts w:ascii="Palatino Linotype" w:hAnsi="Palatino Linotype" w:cs="Arial"/>
                <w:b/>
                <w:sz w:val="16"/>
                <w:szCs w:val="20"/>
                <w:lang w:val="ru-RU" w:eastAsia="en-US"/>
              </w:rPr>
              <w:t>Чистые денежные средства, полученные от финансовой деятельности</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8,882</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4,513</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bCs/>
                <w:sz w:val="16"/>
                <w:szCs w:val="20"/>
                <w:lang w:val="ru-RU" w:eastAsia="en-US"/>
              </w:rPr>
            </w:pPr>
            <w:r w:rsidRPr="00026244">
              <w:rPr>
                <w:rFonts w:ascii="Palatino Linotype" w:hAnsi="Palatino Linotype" w:cs="Arial"/>
                <w:b/>
                <w:bCs/>
                <w:sz w:val="16"/>
                <w:szCs w:val="20"/>
                <w:lang w:val="ru-RU" w:eastAsia="en-US"/>
              </w:rPr>
              <w:t>Чистый прирост денежных средств и их эквивалентов</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81,104</w:t>
            </w:r>
          </w:p>
        </w:tc>
        <w:tc>
          <w:tcPr>
            <w:tcW w:w="1038" w:type="pct"/>
          </w:tcPr>
          <w:p w:rsidR="00FB5F40" w:rsidRPr="00026244" w:rsidRDefault="00FB5F40" w:rsidP="00061907">
            <w:pPr>
              <w:pStyle w:val="TableText"/>
              <w:pBdr>
                <w:top w:val="single" w:sz="6" w:space="1" w:color="auto"/>
              </w:pBdr>
              <w:ind w:right="11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142,158</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16"/>
                <w:lang w:val="ru-RU" w:eastAsia="en-US"/>
              </w:rPr>
            </w:pPr>
            <w:r w:rsidRPr="00026244">
              <w:rPr>
                <w:rFonts w:ascii="Palatino Linotype" w:hAnsi="Palatino Linotype" w:cs="Arial"/>
                <w:sz w:val="16"/>
                <w:szCs w:val="16"/>
                <w:lang w:val="ru-RU" w:eastAsia="en-US"/>
              </w:rPr>
              <w:t>Денежные средства и их эквиваленты на начало года</w:t>
            </w:r>
          </w:p>
        </w:tc>
        <w:tc>
          <w:tcPr>
            <w:tcW w:w="1038" w:type="pct"/>
          </w:tcPr>
          <w:p w:rsidR="00FB5F40" w:rsidRPr="00026244" w:rsidRDefault="00FB5F40" w:rsidP="00061907">
            <w:pPr>
              <w:pStyle w:val="TableText"/>
              <w:tabs>
                <w:tab w:val="left" w:pos="1625"/>
              </w:tabs>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472,027</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331,927</w:t>
            </w:r>
          </w:p>
        </w:tc>
      </w:tr>
      <w:tr w:rsidR="00FB5F40" w:rsidRPr="00026244" w:rsidTr="00221B82">
        <w:tc>
          <w:tcPr>
            <w:tcW w:w="2923" w:type="pct"/>
          </w:tcPr>
          <w:p w:rsidR="00FB5F40" w:rsidRPr="00026244" w:rsidRDefault="00FB5F40" w:rsidP="00061907">
            <w:pPr>
              <w:pStyle w:val="TableText"/>
              <w:rPr>
                <w:rFonts w:ascii="Palatino Linotype" w:hAnsi="Palatino Linotype" w:cs="Arial"/>
                <w:sz w:val="16"/>
                <w:szCs w:val="20"/>
                <w:lang w:val="ru-RU" w:eastAsia="en-US"/>
              </w:rPr>
            </w:pPr>
            <w:r w:rsidRPr="00026244">
              <w:rPr>
                <w:rFonts w:ascii="Palatino Linotype" w:hAnsi="Palatino Linotype" w:cs="Arial"/>
                <w:sz w:val="16"/>
                <w:szCs w:val="20"/>
                <w:lang w:val="ru-RU" w:eastAsia="en-US"/>
              </w:rPr>
              <w:t>Влияние курсовых разниц на денежные средства и их эквиваленты</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12,966</w:t>
            </w:r>
          </w:p>
        </w:tc>
        <w:tc>
          <w:tcPr>
            <w:tcW w:w="1038" w:type="pct"/>
          </w:tcPr>
          <w:p w:rsidR="00FB5F40" w:rsidRPr="00026244" w:rsidRDefault="00FB5F40" w:rsidP="00061907">
            <w:pPr>
              <w:pStyle w:val="TableText"/>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(2,058)</w:t>
            </w:r>
          </w:p>
        </w:tc>
      </w:tr>
      <w:tr w:rsidR="00FB5F40" w:rsidRPr="00026244" w:rsidTr="00221B82">
        <w:tc>
          <w:tcPr>
            <w:tcW w:w="2923" w:type="pct"/>
          </w:tcPr>
          <w:p w:rsidR="00FB5F40" w:rsidRPr="00026244" w:rsidRDefault="00FB5F40" w:rsidP="00061907">
            <w:pPr>
              <w:pStyle w:val="TableText"/>
              <w:ind w:right="113"/>
              <w:rPr>
                <w:rFonts w:ascii="Palatino Linotype" w:hAnsi="Palatino Linotype" w:cs="Arial"/>
                <w:b/>
                <w:iCs/>
                <w:sz w:val="16"/>
                <w:szCs w:val="16"/>
                <w:lang w:val="ru-RU" w:eastAsia="en-US"/>
              </w:rPr>
            </w:pPr>
            <w:r w:rsidRPr="00026244">
              <w:rPr>
                <w:rFonts w:ascii="Palatino Linotype" w:hAnsi="Palatino Linotype" w:cs="Arial"/>
                <w:b/>
                <w:sz w:val="16"/>
                <w:szCs w:val="16"/>
                <w:lang w:val="ru-RU" w:eastAsia="en-US"/>
              </w:rPr>
              <w:t>Денежные средства и их эквиваленты на конец года (Прим. 12)</w:t>
            </w:r>
          </w:p>
        </w:tc>
        <w:tc>
          <w:tcPr>
            <w:tcW w:w="1038" w:type="pct"/>
          </w:tcPr>
          <w:p w:rsidR="00FB5F40" w:rsidRPr="00026244" w:rsidRDefault="00FB5F40" w:rsidP="00061907">
            <w:pPr>
              <w:pStyle w:val="TableText"/>
              <w:pBdr>
                <w:top w:val="single" w:sz="6" w:space="1" w:color="auto"/>
                <w:bottom w:val="double" w:sz="6" w:space="1" w:color="auto"/>
              </w:pBdr>
              <w:tabs>
                <w:tab w:val="left" w:pos="1625"/>
              </w:tabs>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566,097</w:t>
            </w:r>
          </w:p>
        </w:tc>
        <w:tc>
          <w:tcPr>
            <w:tcW w:w="1038" w:type="pct"/>
          </w:tcPr>
          <w:p w:rsidR="00FB5F40" w:rsidRPr="00026244" w:rsidRDefault="00FB5F40" w:rsidP="00061907">
            <w:pPr>
              <w:pStyle w:val="TableText"/>
              <w:pBdr>
                <w:top w:val="single" w:sz="6" w:space="1" w:color="auto"/>
                <w:bottom w:val="double" w:sz="6" w:space="1" w:color="auto"/>
              </w:pBdr>
              <w:ind w:right="11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472,027</w:t>
            </w:r>
          </w:p>
        </w:tc>
      </w:tr>
    </w:tbl>
    <w:p w:rsidR="00FB5F40" w:rsidRPr="00026244" w:rsidRDefault="00FB5F40" w:rsidP="00221B82">
      <w:pPr>
        <w:pStyle w:val="SectionTitle"/>
        <w:spacing w:after="40"/>
        <w:jc w:val="both"/>
        <w:rPr>
          <w:b/>
          <w:bCs/>
          <w:color w:val="0000CE"/>
          <w:sz w:val="16"/>
          <w:szCs w:val="16"/>
        </w:rPr>
      </w:pPr>
    </w:p>
    <w:tbl>
      <w:tblPr>
        <w:tblW w:w="9540" w:type="dxa"/>
        <w:tblInd w:w="-142" w:type="dxa"/>
        <w:tblBorders>
          <w:top w:val="single" w:sz="12" w:space="0" w:color="006600"/>
          <w:bottom w:val="single" w:sz="12" w:space="0" w:color="006600"/>
        </w:tblBorders>
        <w:tblCellMar>
          <w:top w:w="28" w:type="dxa"/>
          <w:left w:w="0" w:type="dxa"/>
          <w:bottom w:w="28" w:type="dxa"/>
          <w:right w:w="0" w:type="dxa"/>
        </w:tblCellMar>
        <w:tblLook w:val="0000" w:firstRow="0" w:lastRow="0" w:firstColumn="0" w:lastColumn="0" w:noHBand="0" w:noVBand="0"/>
      </w:tblPr>
      <w:tblGrid>
        <w:gridCol w:w="5582"/>
        <w:gridCol w:w="1979"/>
        <w:gridCol w:w="1979"/>
      </w:tblGrid>
      <w:tr w:rsidR="00FB5F40" w:rsidRPr="00026244" w:rsidTr="00221B82">
        <w:tc>
          <w:tcPr>
            <w:tcW w:w="2926" w:type="pct"/>
            <w:tcBorders>
              <w:top w:val="single" w:sz="12" w:space="0" w:color="006600"/>
            </w:tcBorders>
          </w:tcPr>
          <w:p w:rsidR="00FB5F40" w:rsidRPr="00026244" w:rsidRDefault="00FB5F40" w:rsidP="00061907">
            <w:pPr>
              <w:pStyle w:val="TableText"/>
              <w:rPr>
                <w:rFonts w:ascii="Palatino Linotype" w:hAnsi="Palatino Linotype" w:cs="Arial"/>
                <w:b/>
                <w:sz w:val="16"/>
                <w:szCs w:val="16"/>
                <w:lang w:val="en-US" w:eastAsia="en-US"/>
              </w:rPr>
            </w:pPr>
            <w:proofErr w:type="spellStart"/>
            <w:r w:rsidRPr="00026244">
              <w:rPr>
                <w:rFonts w:ascii="Palatino Linotype" w:hAnsi="Palatino Linotype" w:cs="Arial"/>
                <w:b/>
                <w:sz w:val="16"/>
                <w:szCs w:val="16"/>
                <w:lang w:val="en-US" w:eastAsia="en-US"/>
              </w:rPr>
              <w:t>Полученныепроценты</w:t>
            </w:r>
            <w:proofErr w:type="spellEnd"/>
          </w:p>
        </w:tc>
        <w:tc>
          <w:tcPr>
            <w:tcW w:w="1037" w:type="pct"/>
            <w:tcBorders>
              <w:top w:val="single" w:sz="12" w:space="0" w:color="006600"/>
            </w:tcBorders>
            <w:vAlign w:val="bottom"/>
          </w:tcPr>
          <w:p w:rsidR="00FB5F40" w:rsidRPr="00026244" w:rsidRDefault="00FB5F40" w:rsidP="00061907">
            <w:pPr>
              <w:pStyle w:val="TableText"/>
              <w:ind w:right="9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42,450</w:t>
            </w:r>
          </w:p>
        </w:tc>
        <w:tc>
          <w:tcPr>
            <w:tcW w:w="1037" w:type="pct"/>
            <w:tcBorders>
              <w:top w:val="single" w:sz="12" w:space="0" w:color="006600"/>
            </w:tcBorders>
            <w:vAlign w:val="bottom"/>
          </w:tcPr>
          <w:p w:rsidR="00FB5F40" w:rsidRPr="00026244" w:rsidRDefault="00FB5F40" w:rsidP="00061907">
            <w:pPr>
              <w:pStyle w:val="TableText"/>
              <w:tabs>
                <w:tab w:val="left" w:pos="1446"/>
              </w:tabs>
              <w:ind w:right="9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33,589</w:t>
            </w:r>
          </w:p>
        </w:tc>
      </w:tr>
      <w:tr w:rsidR="00FB5F40" w:rsidRPr="00026244" w:rsidTr="00221B82">
        <w:tc>
          <w:tcPr>
            <w:tcW w:w="2926" w:type="pct"/>
            <w:tcBorders>
              <w:bottom w:val="single" w:sz="12" w:space="0" w:color="006600"/>
            </w:tcBorders>
          </w:tcPr>
          <w:p w:rsidR="00FB5F40" w:rsidRPr="00026244" w:rsidRDefault="00FB5F40" w:rsidP="00061907">
            <w:pPr>
              <w:pStyle w:val="TableText"/>
              <w:rPr>
                <w:rFonts w:ascii="Palatino Linotype" w:hAnsi="Palatino Linotype" w:cs="Arial"/>
                <w:b/>
                <w:sz w:val="16"/>
                <w:szCs w:val="20"/>
                <w:lang w:val="en-US" w:eastAsia="en-US"/>
              </w:rPr>
            </w:pPr>
            <w:proofErr w:type="spellStart"/>
            <w:r w:rsidRPr="00026244">
              <w:rPr>
                <w:rFonts w:ascii="Palatino Linotype" w:hAnsi="Palatino Linotype" w:cs="Arial"/>
                <w:b/>
                <w:sz w:val="16"/>
                <w:szCs w:val="20"/>
                <w:lang w:val="en-US" w:eastAsia="en-US"/>
              </w:rPr>
              <w:t>Выплаченныепроценты</w:t>
            </w:r>
            <w:proofErr w:type="spellEnd"/>
          </w:p>
        </w:tc>
        <w:tc>
          <w:tcPr>
            <w:tcW w:w="1037" w:type="pct"/>
            <w:tcBorders>
              <w:bottom w:val="single" w:sz="12" w:space="0" w:color="006600"/>
            </w:tcBorders>
            <w:vAlign w:val="bottom"/>
          </w:tcPr>
          <w:p w:rsidR="00FB5F40" w:rsidRPr="00026244" w:rsidRDefault="00FB5F40" w:rsidP="00061907">
            <w:pPr>
              <w:pStyle w:val="TableText"/>
              <w:ind w:right="93"/>
              <w:jc w:val="right"/>
              <w:rPr>
                <w:rFonts w:ascii="Palatino Linotype" w:hAnsi="Palatino Linotype" w:cs="Arial"/>
                <w:b/>
                <w:sz w:val="16"/>
                <w:szCs w:val="20"/>
                <w:lang w:eastAsia="en-US"/>
              </w:rPr>
            </w:pPr>
            <w:r w:rsidRPr="00026244">
              <w:rPr>
                <w:rFonts w:ascii="Palatino Linotype" w:hAnsi="Palatino Linotype" w:cs="Arial"/>
                <w:b/>
                <w:sz w:val="16"/>
                <w:szCs w:val="20"/>
                <w:lang w:eastAsia="en-US"/>
              </w:rPr>
              <w:t>52,547</w:t>
            </w:r>
          </w:p>
        </w:tc>
        <w:tc>
          <w:tcPr>
            <w:tcW w:w="1037" w:type="pct"/>
            <w:tcBorders>
              <w:bottom w:val="single" w:sz="12" w:space="0" w:color="006600"/>
            </w:tcBorders>
            <w:vAlign w:val="bottom"/>
          </w:tcPr>
          <w:p w:rsidR="00FB5F40" w:rsidRPr="00026244" w:rsidRDefault="00FB5F40" w:rsidP="00061907">
            <w:pPr>
              <w:pStyle w:val="TableText"/>
              <w:tabs>
                <w:tab w:val="left" w:pos="1446"/>
              </w:tabs>
              <w:ind w:right="93"/>
              <w:jc w:val="right"/>
              <w:rPr>
                <w:rFonts w:ascii="Palatino Linotype" w:hAnsi="Palatino Linotype" w:cs="Arial"/>
                <w:sz w:val="16"/>
                <w:szCs w:val="20"/>
                <w:lang w:eastAsia="en-US"/>
              </w:rPr>
            </w:pPr>
            <w:r w:rsidRPr="00026244">
              <w:rPr>
                <w:rFonts w:ascii="Palatino Linotype" w:hAnsi="Palatino Linotype" w:cs="Arial"/>
                <w:sz w:val="16"/>
                <w:szCs w:val="20"/>
                <w:lang w:eastAsia="en-US"/>
              </w:rPr>
              <w:t>28,099</w:t>
            </w:r>
          </w:p>
        </w:tc>
      </w:tr>
    </w:tbl>
    <w:p w:rsidR="00FB5F40" w:rsidRPr="00026244" w:rsidRDefault="00FB5F40" w:rsidP="00221B82">
      <w:pPr>
        <w:autoSpaceDE w:val="0"/>
        <w:autoSpaceDN w:val="0"/>
        <w:adjustRightInd w:val="0"/>
        <w:spacing w:after="0" w:line="240" w:lineRule="auto"/>
        <w:rPr>
          <w:rFonts w:ascii="Palatino Linotype" w:hAnsi="Palatino Linotype" w:cs="Eurofont-Bold"/>
          <w:b/>
          <w:bCs/>
          <w:color w:val="C25C9C"/>
          <w:sz w:val="24"/>
          <w:szCs w:val="24"/>
          <w:lang w:eastAsia="ru-RU"/>
        </w:rPr>
      </w:pPr>
    </w:p>
    <w:p w:rsidR="00FB5F40" w:rsidRPr="00026244" w:rsidRDefault="00FB5F40" w:rsidP="001F678E">
      <w:pPr>
        <w:spacing w:after="0"/>
        <w:ind w:firstLine="284"/>
        <w:jc w:val="both"/>
        <w:rPr>
          <w:rFonts w:ascii="Palatino Linotype" w:hAnsi="Palatino Linotype"/>
          <w:lang w:val="en-US"/>
        </w:rPr>
      </w:pPr>
    </w:p>
    <w:p w:rsidR="00766A11" w:rsidRPr="00026244" w:rsidRDefault="00766A11" w:rsidP="001F678E">
      <w:pPr>
        <w:spacing w:after="0"/>
        <w:ind w:firstLine="284"/>
        <w:jc w:val="both"/>
        <w:rPr>
          <w:rFonts w:ascii="Palatino Linotype" w:hAnsi="Palatino Linotype"/>
          <w:lang w:val="en-US"/>
        </w:rPr>
      </w:pPr>
    </w:p>
    <w:p w:rsidR="00FB5F40" w:rsidRPr="00026244" w:rsidRDefault="00FB5F40" w:rsidP="00766A11">
      <w:pPr>
        <w:spacing w:after="0"/>
        <w:rPr>
          <w:rFonts w:ascii="Palatino Linotype" w:hAnsi="Palatino Linotype"/>
          <w:b/>
          <w:color w:val="003300"/>
          <w:sz w:val="32"/>
          <w:szCs w:val="32"/>
          <w:lang w:val="tg-Cyrl-TJ"/>
        </w:rPr>
      </w:pPr>
      <w:bookmarkStart w:id="9" w:name="_Toc158794516"/>
      <w:bookmarkStart w:id="10" w:name="_Toc323507386"/>
      <w:r w:rsidRPr="00026244">
        <w:rPr>
          <w:rFonts w:ascii="Palatino Linotype" w:hAnsi="Palatino Linotype"/>
          <w:b/>
          <w:color w:val="003300"/>
          <w:sz w:val="32"/>
          <w:szCs w:val="32"/>
          <w:lang w:val="tg-Cyrl-TJ"/>
        </w:rPr>
        <w:lastRenderedPageBreak/>
        <w:t>Statement</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of</w:t>
      </w:r>
      <w:r w:rsidR="00766A11" w:rsidRPr="00026244">
        <w:rPr>
          <w:rFonts w:ascii="Palatino Linotype" w:hAnsi="Palatino Linotype"/>
          <w:b/>
          <w:color w:val="003300"/>
          <w:sz w:val="32"/>
          <w:szCs w:val="32"/>
          <w:lang w:val="en-US"/>
        </w:rPr>
        <w:t xml:space="preserve"> </w:t>
      </w:r>
      <w:r w:rsidRPr="00026244">
        <w:rPr>
          <w:rFonts w:ascii="Palatino Linotype" w:hAnsi="Palatino Linotype"/>
          <w:b/>
          <w:color w:val="003300"/>
          <w:sz w:val="32"/>
          <w:szCs w:val="32"/>
          <w:lang w:val="tg-Cyrl-TJ"/>
        </w:rPr>
        <w:t>cashflows</w:t>
      </w:r>
      <w:bookmarkEnd w:id="9"/>
      <w:bookmarkEnd w:id="10"/>
    </w:p>
    <w:tbl>
      <w:tblPr>
        <w:tblW w:w="9498" w:type="dxa"/>
        <w:tblCellMar>
          <w:top w:w="28" w:type="dxa"/>
          <w:left w:w="0" w:type="dxa"/>
          <w:bottom w:w="28" w:type="dxa"/>
          <w:right w:w="0" w:type="dxa"/>
        </w:tblCellMar>
        <w:tblLook w:val="0000" w:firstRow="0" w:lastRow="0" w:firstColumn="0" w:lastColumn="0" w:noHBand="0" w:noVBand="0"/>
      </w:tblPr>
      <w:tblGrid>
        <w:gridCol w:w="5104"/>
        <w:gridCol w:w="2411"/>
        <w:gridCol w:w="1983"/>
      </w:tblGrid>
      <w:tr w:rsidR="00FB5F40" w:rsidRPr="00026244" w:rsidTr="004C5503">
        <w:trPr>
          <w:tblHeader/>
        </w:trPr>
        <w:tc>
          <w:tcPr>
            <w:tcW w:w="2687" w:type="pct"/>
            <w:tcBorders>
              <w:top w:val="single" w:sz="12" w:space="0" w:color="006600"/>
              <w:bottom w:val="single" w:sz="12" w:space="0" w:color="006600"/>
            </w:tcBorders>
            <w:vAlign w:val="center"/>
          </w:tcPr>
          <w:p w:rsidR="00FB5F40" w:rsidRPr="00026244" w:rsidRDefault="00FB5F40" w:rsidP="004C5503">
            <w:pPr>
              <w:pStyle w:val="TableHeading"/>
              <w:rPr>
                <w:rFonts w:ascii="Palatino Linotype" w:hAnsi="Palatino Linotype"/>
                <w:b w:val="0"/>
                <w:sz w:val="18"/>
                <w:szCs w:val="18"/>
              </w:rPr>
            </w:pPr>
            <w:r w:rsidRPr="00026244">
              <w:rPr>
                <w:rFonts w:ascii="Palatino Linotype" w:hAnsi="Palatino Linotype"/>
                <w:b w:val="0"/>
                <w:sz w:val="18"/>
                <w:szCs w:val="18"/>
              </w:rPr>
              <w:t xml:space="preserve">In thousands Tajik </w:t>
            </w:r>
            <w:proofErr w:type="spellStart"/>
            <w:r w:rsidRPr="00026244">
              <w:rPr>
                <w:rFonts w:ascii="Palatino Linotype" w:hAnsi="Palatino Linotype"/>
                <w:b w:val="0"/>
                <w:sz w:val="18"/>
                <w:szCs w:val="18"/>
              </w:rPr>
              <w:t>somoni</w:t>
            </w:r>
            <w:proofErr w:type="spellEnd"/>
          </w:p>
        </w:tc>
        <w:tc>
          <w:tcPr>
            <w:tcW w:w="1269" w:type="pct"/>
            <w:tcBorders>
              <w:top w:val="single" w:sz="12" w:space="0" w:color="006600"/>
              <w:bottom w:val="single" w:sz="12" w:space="0" w:color="006600"/>
            </w:tcBorders>
            <w:vAlign w:val="center"/>
          </w:tcPr>
          <w:p w:rsidR="00FB5F40" w:rsidRPr="00026244" w:rsidRDefault="00FB5F40" w:rsidP="004C5503">
            <w:pPr>
              <w:pStyle w:val="TableHeading"/>
              <w:ind w:right="93"/>
              <w:rPr>
                <w:rFonts w:ascii="Palatino Linotype" w:hAnsi="Palatino Linotype"/>
                <w:sz w:val="18"/>
                <w:szCs w:val="18"/>
              </w:rPr>
            </w:pPr>
            <w:r w:rsidRPr="00026244">
              <w:rPr>
                <w:rFonts w:ascii="Palatino Linotype" w:hAnsi="Palatino Linotype"/>
                <w:sz w:val="18"/>
                <w:szCs w:val="18"/>
              </w:rPr>
              <w:t xml:space="preserve">Year ended </w:t>
            </w:r>
          </w:p>
          <w:p w:rsidR="00FB5F40" w:rsidRPr="00026244" w:rsidRDefault="00FB5F40" w:rsidP="004C5503">
            <w:pPr>
              <w:pStyle w:val="TableHeading"/>
              <w:ind w:right="93"/>
              <w:rPr>
                <w:rFonts w:ascii="Palatino Linotype" w:hAnsi="Palatino Linotype"/>
                <w:sz w:val="18"/>
                <w:szCs w:val="18"/>
              </w:rPr>
            </w:pPr>
            <w:r w:rsidRPr="00026244">
              <w:rPr>
                <w:rFonts w:ascii="Palatino Linotype" w:hAnsi="Palatino Linotype"/>
                <w:sz w:val="18"/>
                <w:szCs w:val="18"/>
              </w:rPr>
              <w:t>December 31, 2011</w:t>
            </w:r>
          </w:p>
        </w:tc>
        <w:tc>
          <w:tcPr>
            <w:tcW w:w="1044" w:type="pct"/>
            <w:tcBorders>
              <w:top w:val="single" w:sz="12" w:space="0" w:color="006600"/>
              <w:bottom w:val="single" w:sz="12" w:space="0" w:color="006600"/>
            </w:tcBorders>
            <w:vAlign w:val="center"/>
          </w:tcPr>
          <w:p w:rsidR="00FB5F40" w:rsidRPr="00026244" w:rsidRDefault="00FB5F40" w:rsidP="004C5503">
            <w:pPr>
              <w:pStyle w:val="TableHeading"/>
              <w:ind w:right="93"/>
              <w:rPr>
                <w:rFonts w:ascii="Palatino Linotype" w:hAnsi="Palatino Linotype"/>
                <w:b w:val="0"/>
                <w:sz w:val="18"/>
                <w:szCs w:val="18"/>
              </w:rPr>
            </w:pPr>
            <w:r w:rsidRPr="00026244">
              <w:rPr>
                <w:rFonts w:ascii="Palatino Linotype" w:hAnsi="Palatino Linotype"/>
                <w:b w:val="0"/>
                <w:sz w:val="18"/>
                <w:szCs w:val="18"/>
              </w:rPr>
              <w:t xml:space="preserve">Year ended </w:t>
            </w:r>
          </w:p>
          <w:p w:rsidR="00FB5F40" w:rsidRPr="00026244" w:rsidRDefault="00FB5F40" w:rsidP="004C5503">
            <w:pPr>
              <w:pStyle w:val="TableHeading"/>
              <w:ind w:right="93"/>
              <w:rPr>
                <w:rFonts w:ascii="Palatino Linotype" w:hAnsi="Palatino Linotype"/>
                <w:b w:val="0"/>
                <w:sz w:val="18"/>
                <w:szCs w:val="18"/>
              </w:rPr>
            </w:pPr>
            <w:r w:rsidRPr="00026244">
              <w:rPr>
                <w:rFonts w:ascii="Palatino Linotype" w:hAnsi="Palatino Linotype"/>
                <w:b w:val="0"/>
                <w:sz w:val="18"/>
                <w:szCs w:val="18"/>
              </w:rPr>
              <w:t>December 31, 2010</w:t>
            </w:r>
          </w:p>
        </w:tc>
      </w:tr>
      <w:tr w:rsidR="00FB5F40" w:rsidRPr="00BA6FED" w:rsidTr="004C5503">
        <w:tc>
          <w:tcPr>
            <w:tcW w:w="2687" w:type="pct"/>
            <w:tcBorders>
              <w:top w:val="single" w:sz="12" w:space="0" w:color="006600"/>
            </w:tcBorders>
          </w:tcPr>
          <w:p w:rsidR="00FB5F40" w:rsidRPr="00026244" w:rsidRDefault="00FB5F40" w:rsidP="00061907">
            <w:pPr>
              <w:pStyle w:val="TableText"/>
              <w:ind w:right="113"/>
              <w:rPr>
                <w:rFonts w:ascii="Palatino Linotype" w:hAnsi="Palatino Linotype" w:cs="Arial"/>
                <w:b/>
                <w:sz w:val="18"/>
                <w:szCs w:val="18"/>
                <w:lang w:eastAsia="en-US"/>
              </w:rPr>
            </w:pPr>
            <w:r w:rsidRPr="00026244">
              <w:rPr>
                <w:rFonts w:ascii="Palatino Linotype" w:hAnsi="Palatino Linotype" w:cs="Arial"/>
                <w:b/>
                <w:sz w:val="18"/>
                <w:szCs w:val="18"/>
                <w:lang w:eastAsia="en-US"/>
              </w:rPr>
              <w:t>Cash flows from operating activities</w:t>
            </w:r>
          </w:p>
        </w:tc>
        <w:tc>
          <w:tcPr>
            <w:tcW w:w="1269" w:type="pct"/>
            <w:tcBorders>
              <w:top w:val="single" w:sz="12" w:space="0" w:color="006600"/>
            </w:tcBorders>
            <w:vAlign w:val="center"/>
          </w:tcPr>
          <w:p w:rsidR="00FB5F40" w:rsidRPr="00026244" w:rsidRDefault="00FB5F40" w:rsidP="00061907">
            <w:pPr>
              <w:pStyle w:val="TableText"/>
              <w:ind w:right="113"/>
              <w:jc w:val="right"/>
              <w:rPr>
                <w:rFonts w:ascii="Palatino Linotype" w:hAnsi="Palatino Linotype" w:cs="Arial"/>
                <w:b/>
                <w:sz w:val="18"/>
                <w:szCs w:val="18"/>
                <w:lang w:eastAsia="en-US"/>
              </w:rPr>
            </w:pPr>
          </w:p>
        </w:tc>
        <w:tc>
          <w:tcPr>
            <w:tcW w:w="1044" w:type="pct"/>
            <w:tcBorders>
              <w:top w:val="single" w:sz="12" w:space="0" w:color="006600"/>
            </w:tcBorders>
            <w:vAlign w:val="center"/>
          </w:tcPr>
          <w:p w:rsidR="00FB5F40" w:rsidRPr="00026244" w:rsidRDefault="00FB5F40" w:rsidP="00061907">
            <w:pPr>
              <w:pStyle w:val="TableText"/>
              <w:ind w:right="113"/>
              <w:jc w:val="right"/>
              <w:rPr>
                <w:rFonts w:ascii="Palatino Linotype" w:hAnsi="Palatino Linotype" w:cs="Arial"/>
                <w:sz w:val="18"/>
                <w:szCs w:val="18"/>
                <w:lang w:eastAsia="en-US"/>
              </w:rPr>
            </w:pP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sz w:val="18"/>
                <w:szCs w:val="18"/>
                <w:lang w:eastAsia="en-US"/>
              </w:rPr>
              <w:t>Profit before tax</w:t>
            </w:r>
          </w:p>
        </w:tc>
        <w:tc>
          <w:tcPr>
            <w:tcW w:w="1269" w:type="pct"/>
          </w:tcPr>
          <w:p w:rsidR="00FB5F40" w:rsidRPr="00026244" w:rsidRDefault="00FB5F40" w:rsidP="00061907">
            <w:pPr>
              <w:pStyle w:val="TableText"/>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16,697</w:t>
            </w:r>
          </w:p>
        </w:tc>
        <w:tc>
          <w:tcPr>
            <w:tcW w:w="1044" w:type="pct"/>
          </w:tcPr>
          <w:p w:rsidR="00FB5F40" w:rsidRPr="00026244" w:rsidRDefault="00FB5F40" w:rsidP="00061907">
            <w:pPr>
              <w:pStyle w:val="TableText"/>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7,873</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i/>
                <w:sz w:val="18"/>
                <w:szCs w:val="18"/>
                <w:lang w:eastAsia="en-US"/>
              </w:rPr>
            </w:pPr>
            <w:r w:rsidRPr="00026244">
              <w:rPr>
                <w:rFonts w:ascii="Palatino Linotype" w:hAnsi="Palatino Linotype" w:cs="Arial"/>
                <w:i/>
                <w:sz w:val="18"/>
                <w:szCs w:val="18"/>
                <w:lang w:eastAsia="en-US"/>
              </w:rPr>
              <w:t>Adjustments for</w:t>
            </w:r>
          </w:p>
        </w:tc>
        <w:tc>
          <w:tcPr>
            <w:tcW w:w="1269" w:type="pct"/>
          </w:tcPr>
          <w:p w:rsidR="00FB5F40" w:rsidRPr="00026244" w:rsidRDefault="00FB5F40" w:rsidP="00061907">
            <w:pPr>
              <w:pStyle w:val="TableText"/>
              <w:ind w:right="113"/>
              <w:jc w:val="right"/>
              <w:rPr>
                <w:rFonts w:ascii="Palatino Linotype" w:hAnsi="Palatino Linotype" w:cs="Arial"/>
                <w:b/>
                <w:sz w:val="18"/>
                <w:szCs w:val="18"/>
                <w:lang w:eastAsia="en-US"/>
              </w:rPr>
            </w:pP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sz w:val="18"/>
                <w:szCs w:val="18"/>
                <w:lang w:eastAsia="en-US"/>
              </w:rPr>
              <w:t xml:space="preserve">Impairment/(reversal of impairment) charge for credit losses </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14,427</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(984)</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sz w:val="18"/>
                <w:szCs w:val="18"/>
                <w:lang w:eastAsia="en-US"/>
              </w:rPr>
              <w:t>Foreign currency translation net loss of non-trading assets and liabilities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val="en-US" w:eastAsia="en-US"/>
              </w:rPr>
            </w:pPr>
            <w:r w:rsidRPr="00026244">
              <w:rPr>
                <w:rFonts w:ascii="Palatino Linotype" w:hAnsi="Palatino Linotype" w:cs="Arial"/>
                <w:sz w:val="18"/>
                <w:szCs w:val="18"/>
                <w:lang w:val="en-US" w:eastAsia="en-US"/>
              </w:rPr>
              <w:t>776</w:t>
            </w:r>
          </w:p>
        </w:tc>
        <w:tc>
          <w:tcPr>
            <w:tcW w:w="1044" w:type="pct"/>
          </w:tcPr>
          <w:p w:rsidR="00FB5F40" w:rsidRPr="00026244" w:rsidRDefault="00FB5F40" w:rsidP="00061907">
            <w:pPr>
              <w:pStyle w:val="TableText"/>
              <w:ind w:right="113"/>
              <w:jc w:val="right"/>
              <w:rPr>
                <w:rFonts w:ascii="Palatino Linotype" w:hAnsi="Palatino Linotype" w:cs="Arial"/>
                <w:sz w:val="18"/>
                <w:szCs w:val="18"/>
                <w:lang w:val="en-US" w:eastAsia="en-US"/>
              </w:rPr>
            </w:pPr>
            <w:r w:rsidRPr="00026244">
              <w:rPr>
                <w:rFonts w:ascii="Palatino Linotype" w:hAnsi="Palatino Linotype" w:cs="Arial"/>
                <w:sz w:val="18"/>
                <w:szCs w:val="18"/>
                <w:lang w:val="en-US" w:eastAsia="en-US"/>
              </w:rPr>
              <w:t>603</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sz w:val="18"/>
                <w:szCs w:val="18"/>
                <w:lang w:eastAsia="en-US"/>
              </w:rPr>
              <w:t>Amortization and depreciation allowances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val="en-US" w:eastAsia="en-US"/>
              </w:rPr>
            </w:pPr>
            <w:r w:rsidRPr="00026244">
              <w:rPr>
                <w:rFonts w:ascii="Palatino Linotype" w:hAnsi="Palatino Linotype" w:cs="Arial"/>
                <w:sz w:val="18"/>
                <w:szCs w:val="18"/>
                <w:lang w:val="en-US" w:eastAsia="en-US"/>
              </w:rPr>
              <w:t>5,344</w:t>
            </w:r>
          </w:p>
        </w:tc>
        <w:tc>
          <w:tcPr>
            <w:tcW w:w="1044" w:type="pct"/>
          </w:tcPr>
          <w:p w:rsidR="00FB5F40" w:rsidRPr="00026244" w:rsidRDefault="00FB5F40" w:rsidP="00061907">
            <w:pPr>
              <w:pStyle w:val="TableText"/>
              <w:ind w:right="113"/>
              <w:jc w:val="right"/>
              <w:rPr>
                <w:rFonts w:ascii="Palatino Linotype" w:hAnsi="Palatino Linotype" w:cs="Arial"/>
                <w:sz w:val="18"/>
                <w:szCs w:val="18"/>
                <w:lang w:val="en-US" w:eastAsia="en-US"/>
              </w:rPr>
            </w:pPr>
            <w:r w:rsidRPr="00026244">
              <w:rPr>
                <w:rFonts w:ascii="Palatino Linotype" w:hAnsi="Palatino Linotype" w:cs="Arial"/>
                <w:sz w:val="18"/>
                <w:szCs w:val="18"/>
                <w:lang w:val="en-US" w:eastAsia="en-US"/>
              </w:rPr>
              <w:t>3,014</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sz w:val="18"/>
                <w:szCs w:val="18"/>
                <w:lang w:eastAsia="en-US"/>
              </w:rPr>
              <w:t>Loss from sale of PPE</w:t>
            </w:r>
          </w:p>
        </w:tc>
        <w:tc>
          <w:tcPr>
            <w:tcW w:w="1269" w:type="pct"/>
          </w:tcPr>
          <w:p w:rsidR="00FB5F40" w:rsidRPr="00026244" w:rsidRDefault="00FB5F40" w:rsidP="00061907">
            <w:pPr>
              <w:pStyle w:val="TableText"/>
              <w:ind w:right="113"/>
              <w:jc w:val="right"/>
              <w:rPr>
                <w:rFonts w:ascii="Palatino Linotype" w:hAnsi="Palatino Linotype" w:cs="Arial"/>
                <w:sz w:val="18"/>
                <w:szCs w:val="18"/>
                <w:lang w:val="en-US" w:eastAsia="en-US"/>
              </w:rPr>
            </w:pPr>
            <w:r w:rsidRPr="00026244">
              <w:rPr>
                <w:rFonts w:ascii="Palatino Linotype" w:hAnsi="Palatino Linotype" w:cs="Arial"/>
                <w:sz w:val="18"/>
                <w:szCs w:val="18"/>
                <w:lang w:val="en-US" w:eastAsia="en-US"/>
              </w:rPr>
              <w:t>27</w:t>
            </w:r>
          </w:p>
        </w:tc>
        <w:tc>
          <w:tcPr>
            <w:tcW w:w="1044" w:type="pct"/>
          </w:tcPr>
          <w:p w:rsidR="00FB5F40" w:rsidRPr="00026244" w:rsidRDefault="00FB5F40" w:rsidP="00061907">
            <w:pPr>
              <w:pStyle w:val="TableText"/>
              <w:ind w:right="113"/>
              <w:jc w:val="right"/>
              <w:rPr>
                <w:rFonts w:ascii="Palatino Linotype" w:hAnsi="Palatino Linotype" w:cs="Arial"/>
                <w:sz w:val="18"/>
                <w:szCs w:val="18"/>
                <w:lang w:val="en-US" w:eastAsia="en-US"/>
              </w:rPr>
            </w:pPr>
            <w:r w:rsidRPr="00026244">
              <w:rPr>
                <w:rFonts w:ascii="Palatino Linotype" w:hAnsi="Palatino Linotype" w:cs="Arial"/>
                <w:sz w:val="18"/>
                <w:szCs w:val="18"/>
                <w:lang w:val="en-US" w:eastAsia="en-US"/>
              </w:rPr>
              <w:t>-</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sz w:val="18"/>
                <w:szCs w:val="18"/>
                <w:lang w:eastAsia="en-US"/>
              </w:rPr>
              <w:t>Interest receivable</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1,094</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1,824</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sz w:val="18"/>
                <w:szCs w:val="18"/>
                <w:lang w:eastAsia="en-US"/>
              </w:rPr>
              <w:t>Interest payable</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6,685</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1,854</w:t>
            </w:r>
          </w:p>
        </w:tc>
      </w:tr>
      <w:tr w:rsidR="00FB5F40" w:rsidRPr="00026244" w:rsidTr="004C5503">
        <w:tc>
          <w:tcPr>
            <w:tcW w:w="2687" w:type="pct"/>
            <w:vAlign w:val="center"/>
          </w:tcPr>
          <w:p w:rsidR="00FB5F40" w:rsidRPr="00026244" w:rsidRDefault="00FB5F40" w:rsidP="00061907">
            <w:pPr>
              <w:pStyle w:val="TableText"/>
              <w:ind w:right="113"/>
              <w:rPr>
                <w:rFonts w:ascii="Palatino Linotype" w:hAnsi="Palatino Linotype" w:cs="Arial"/>
                <w:b/>
                <w:sz w:val="18"/>
                <w:szCs w:val="18"/>
                <w:lang w:eastAsia="en-US"/>
              </w:rPr>
            </w:pPr>
            <w:r w:rsidRPr="00026244">
              <w:rPr>
                <w:rFonts w:ascii="Palatino Linotype" w:hAnsi="Palatino Linotype" w:cs="Arial"/>
                <w:b/>
                <w:sz w:val="18"/>
                <w:szCs w:val="18"/>
                <w:lang w:eastAsia="en-US"/>
              </w:rPr>
              <w:t xml:space="preserve">Cash flows from operating activities before changes in operating assets and liabilities </w:t>
            </w:r>
          </w:p>
        </w:tc>
        <w:tc>
          <w:tcPr>
            <w:tcW w:w="1269"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45,050</w:t>
            </w:r>
          </w:p>
        </w:tc>
        <w:tc>
          <w:tcPr>
            <w:tcW w:w="1044"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14,184</w:t>
            </w:r>
          </w:p>
        </w:tc>
      </w:tr>
      <w:tr w:rsidR="00FB5F40" w:rsidRPr="00BA6FED" w:rsidTr="004C5503">
        <w:tc>
          <w:tcPr>
            <w:tcW w:w="2687" w:type="pct"/>
          </w:tcPr>
          <w:p w:rsidR="00FB5F40" w:rsidRPr="00026244" w:rsidRDefault="00FB5F40" w:rsidP="00061907">
            <w:pPr>
              <w:pStyle w:val="TableText"/>
              <w:rPr>
                <w:rFonts w:ascii="Palatino Linotype" w:hAnsi="Palatino Linotype" w:cs="Arial"/>
                <w:i/>
                <w:sz w:val="18"/>
                <w:szCs w:val="18"/>
                <w:lang w:eastAsia="en-US"/>
              </w:rPr>
            </w:pPr>
            <w:r w:rsidRPr="00026244">
              <w:rPr>
                <w:rFonts w:ascii="Palatino Linotype" w:hAnsi="Palatino Linotype" w:cs="Arial"/>
                <w:i/>
                <w:sz w:val="18"/>
                <w:szCs w:val="18"/>
                <w:lang w:eastAsia="en-US"/>
              </w:rPr>
              <w:t>(Increase)/decrease in operating assets</w:t>
            </w:r>
          </w:p>
        </w:tc>
        <w:tc>
          <w:tcPr>
            <w:tcW w:w="1269" w:type="pct"/>
          </w:tcPr>
          <w:p w:rsidR="00FB5F40" w:rsidRPr="00026244" w:rsidRDefault="00FB5F40" w:rsidP="00061907">
            <w:pPr>
              <w:pStyle w:val="tabelt"/>
              <w:ind w:right="113"/>
              <w:rPr>
                <w:rFonts w:ascii="Palatino Linotype" w:hAnsi="Palatino Linotype"/>
                <w:b/>
                <w:sz w:val="18"/>
                <w:szCs w:val="18"/>
              </w:rPr>
            </w:pPr>
          </w:p>
        </w:tc>
        <w:tc>
          <w:tcPr>
            <w:tcW w:w="1044" w:type="pct"/>
          </w:tcPr>
          <w:p w:rsidR="00FB5F40" w:rsidRPr="00026244" w:rsidRDefault="00FB5F40" w:rsidP="00061907">
            <w:pPr>
              <w:pStyle w:val="tabelt"/>
              <w:tabs>
                <w:tab w:val="left" w:pos="1446"/>
              </w:tabs>
              <w:ind w:right="113"/>
              <w:rPr>
                <w:rFonts w:ascii="Palatino Linotype" w:hAnsi="Palatino Linotype"/>
                <w:sz w:val="18"/>
                <w:szCs w:val="18"/>
              </w:rPr>
            </w:pP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Statutory reserve in National Bank of Tajikistan</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(26,145)</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(7,897)</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Amounts due from other financial institutions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1,968</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(17,042)</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Loans and advances to customers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(65,489)</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(23,389)</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Other assets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6,284</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3,483</w:t>
            </w:r>
          </w:p>
        </w:tc>
      </w:tr>
      <w:tr w:rsidR="00FB5F40" w:rsidRPr="00BA6FED" w:rsidTr="004C5503">
        <w:tc>
          <w:tcPr>
            <w:tcW w:w="2687" w:type="pct"/>
          </w:tcPr>
          <w:p w:rsidR="00FB5F40" w:rsidRPr="00026244" w:rsidRDefault="00FB5F40" w:rsidP="00061907">
            <w:pPr>
              <w:pStyle w:val="TableText"/>
              <w:rPr>
                <w:rFonts w:ascii="Palatino Linotype" w:hAnsi="Palatino Linotype" w:cs="Arial"/>
                <w:i/>
                <w:iCs/>
                <w:sz w:val="18"/>
                <w:szCs w:val="18"/>
                <w:lang w:eastAsia="en-US"/>
              </w:rPr>
            </w:pPr>
            <w:r w:rsidRPr="00026244">
              <w:rPr>
                <w:rFonts w:ascii="Palatino Linotype" w:hAnsi="Palatino Linotype" w:cs="Arial"/>
                <w:i/>
                <w:iCs/>
                <w:sz w:val="18"/>
                <w:szCs w:val="18"/>
                <w:lang w:eastAsia="en-US"/>
              </w:rPr>
              <w:t>Increase/(decrease) in operating liabilities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Amounts due to financial institutions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4,496</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30,798</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Amounts due to customers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117,298</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180,768</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Other liabilities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1,269</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5,079</w:t>
            </w:r>
          </w:p>
        </w:tc>
      </w:tr>
      <w:tr w:rsidR="00FB5F40" w:rsidRPr="00026244" w:rsidTr="004C5503">
        <w:tc>
          <w:tcPr>
            <w:tcW w:w="2687" w:type="pct"/>
            <w:vAlign w:val="center"/>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b/>
                <w:sz w:val="18"/>
                <w:szCs w:val="18"/>
                <w:lang w:eastAsia="en-US"/>
              </w:rPr>
              <w:t>Net cash flow from operating activities before income tax</w:t>
            </w:r>
          </w:p>
        </w:tc>
        <w:tc>
          <w:tcPr>
            <w:tcW w:w="1269"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84,731</w:t>
            </w:r>
          </w:p>
        </w:tc>
        <w:tc>
          <w:tcPr>
            <w:tcW w:w="1044"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185,984</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Income tax paid</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(5,067)</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(3,393)</w:t>
            </w:r>
          </w:p>
        </w:tc>
      </w:tr>
      <w:tr w:rsidR="00FB5F40" w:rsidRPr="00026244" w:rsidTr="004C5503">
        <w:tc>
          <w:tcPr>
            <w:tcW w:w="2687" w:type="pct"/>
            <w:vAlign w:val="center"/>
          </w:tcPr>
          <w:p w:rsidR="00FB5F40" w:rsidRPr="00026244" w:rsidRDefault="00FB5F40" w:rsidP="00061907">
            <w:pPr>
              <w:pStyle w:val="TableText"/>
              <w:ind w:right="113"/>
              <w:rPr>
                <w:rFonts w:ascii="Palatino Linotype" w:hAnsi="Palatino Linotype" w:cs="Arial"/>
                <w:b/>
                <w:bCs/>
                <w:sz w:val="18"/>
                <w:szCs w:val="18"/>
                <w:lang w:eastAsia="en-US"/>
              </w:rPr>
            </w:pPr>
            <w:r w:rsidRPr="00026244">
              <w:rPr>
                <w:rFonts w:ascii="Palatino Linotype" w:hAnsi="Palatino Linotype" w:cs="Arial"/>
                <w:b/>
                <w:bCs/>
                <w:sz w:val="18"/>
                <w:szCs w:val="18"/>
                <w:lang w:eastAsia="en-US"/>
              </w:rPr>
              <w:t xml:space="preserve">Net cash </w:t>
            </w:r>
            <w:r w:rsidRPr="00026244">
              <w:rPr>
                <w:rFonts w:ascii="Palatino Linotype" w:hAnsi="Palatino Linotype" w:cs="Arial"/>
                <w:b/>
                <w:sz w:val="18"/>
                <w:szCs w:val="18"/>
                <w:lang w:eastAsia="en-US"/>
              </w:rPr>
              <w:t>from</w:t>
            </w:r>
            <w:r w:rsidRPr="00026244">
              <w:rPr>
                <w:rFonts w:ascii="Palatino Linotype" w:hAnsi="Palatino Linotype" w:cs="Arial"/>
                <w:b/>
                <w:bCs/>
                <w:sz w:val="18"/>
                <w:szCs w:val="18"/>
                <w:lang w:eastAsia="en-US"/>
              </w:rPr>
              <w:t xml:space="preserve"> operating activities</w:t>
            </w:r>
          </w:p>
        </w:tc>
        <w:tc>
          <w:tcPr>
            <w:tcW w:w="1269"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79,664</w:t>
            </w:r>
          </w:p>
        </w:tc>
        <w:tc>
          <w:tcPr>
            <w:tcW w:w="1044"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182,591</w:t>
            </w:r>
          </w:p>
        </w:tc>
      </w:tr>
      <w:tr w:rsidR="00FB5F40" w:rsidRPr="00BA6FED" w:rsidTr="004C5503">
        <w:tc>
          <w:tcPr>
            <w:tcW w:w="2687" w:type="pct"/>
          </w:tcPr>
          <w:p w:rsidR="00FB5F40" w:rsidRPr="00026244" w:rsidRDefault="00FB5F40" w:rsidP="00061907">
            <w:pPr>
              <w:pStyle w:val="TableText"/>
              <w:ind w:right="113"/>
              <w:rPr>
                <w:rFonts w:ascii="Palatino Linotype" w:hAnsi="Palatino Linotype" w:cs="Arial"/>
                <w:b/>
                <w:iCs/>
                <w:sz w:val="18"/>
                <w:szCs w:val="18"/>
                <w:lang w:eastAsia="en-US"/>
              </w:rPr>
            </w:pPr>
            <w:r w:rsidRPr="00026244">
              <w:rPr>
                <w:rFonts w:ascii="Palatino Linotype" w:hAnsi="Palatino Linotype" w:cs="Arial"/>
                <w:b/>
                <w:bCs/>
                <w:sz w:val="18"/>
                <w:szCs w:val="18"/>
                <w:lang w:eastAsia="en-US"/>
              </w:rPr>
              <w:t>Cash</w:t>
            </w:r>
            <w:r w:rsidRPr="00026244">
              <w:rPr>
                <w:rFonts w:ascii="Palatino Linotype" w:hAnsi="Palatino Linotype" w:cs="Arial"/>
                <w:b/>
                <w:iCs/>
                <w:sz w:val="18"/>
                <w:szCs w:val="18"/>
                <w:lang w:eastAsia="en-US"/>
              </w:rPr>
              <w:t xml:space="preserve"> flows from investing activities</w:t>
            </w:r>
          </w:p>
        </w:tc>
        <w:tc>
          <w:tcPr>
            <w:tcW w:w="1269" w:type="pct"/>
          </w:tcPr>
          <w:p w:rsidR="00FB5F40" w:rsidRPr="00026244" w:rsidRDefault="00FB5F40" w:rsidP="00061907">
            <w:pPr>
              <w:pStyle w:val="tabelt"/>
              <w:ind w:right="93"/>
              <w:rPr>
                <w:rFonts w:ascii="Palatino Linotype" w:hAnsi="Palatino Linotype"/>
                <w:sz w:val="18"/>
                <w:szCs w:val="18"/>
              </w:rPr>
            </w:pPr>
          </w:p>
        </w:tc>
        <w:tc>
          <w:tcPr>
            <w:tcW w:w="1044" w:type="pct"/>
          </w:tcPr>
          <w:p w:rsidR="00FB5F40" w:rsidRPr="00026244" w:rsidRDefault="00FB5F40" w:rsidP="00061907">
            <w:pPr>
              <w:pStyle w:val="tabelt"/>
              <w:ind w:right="93"/>
              <w:rPr>
                <w:rFonts w:ascii="Palatino Linotype" w:hAnsi="Palatino Linotype"/>
                <w:sz w:val="18"/>
                <w:szCs w:val="18"/>
              </w:rPr>
            </w:pP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Purchase of investment securities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(11,000)</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Purchase of property and equipment</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(8,507)</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(33,777)</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Proceeds from sale of property and equipment</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1,065</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Purchase of intangible assets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(169)</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b/>
                <w:sz w:val="18"/>
                <w:szCs w:val="18"/>
                <w:lang w:eastAsia="en-US"/>
              </w:rPr>
            </w:pPr>
            <w:r w:rsidRPr="00026244">
              <w:rPr>
                <w:rFonts w:ascii="Palatino Linotype" w:hAnsi="Palatino Linotype" w:cs="Arial"/>
                <w:b/>
                <w:sz w:val="18"/>
                <w:szCs w:val="18"/>
                <w:lang w:eastAsia="en-US"/>
              </w:rPr>
              <w:t xml:space="preserve">Net </w:t>
            </w:r>
            <w:r w:rsidRPr="00026244">
              <w:rPr>
                <w:rFonts w:ascii="Palatino Linotype" w:hAnsi="Palatino Linotype" w:cs="Arial"/>
                <w:b/>
                <w:iCs/>
                <w:sz w:val="18"/>
                <w:szCs w:val="18"/>
                <w:lang w:eastAsia="en-US"/>
              </w:rPr>
              <w:t>cash</w:t>
            </w:r>
            <w:r w:rsidRPr="00026244">
              <w:rPr>
                <w:rFonts w:ascii="Palatino Linotype" w:hAnsi="Palatino Linotype" w:cs="Arial"/>
                <w:b/>
                <w:sz w:val="18"/>
                <w:szCs w:val="18"/>
                <w:lang w:eastAsia="en-US"/>
              </w:rPr>
              <w:t xml:space="preserve"> used in investing activities</w:t>
            </w:r>
          </w:p>
        </w:tc>
        <w:tc>
          <w:tcPr>
            <w:tcW w:w="1269"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(7,442)</w:t>
            </w:r>
          </w:p>
        </w:tc>
        <w:tc>
          <w:tcPr>
            <w:tcW w:w="1044"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(44,946)</w:t>
            </w:r>
          </w:p>
        </w:tc>
      </w:tr>
      <w:tr w:rsidR="00FB5F40" w:rsidRPr="00BA6FED" w:rsidTr="004C5503">
        <w:tc>
          <w:tcPr>
            <w:tcW w:w="2687" w:type="pct"/>
          </w:tcPr>
          <w:p w:rsidR="00FB5F40" w:rsidRPr="00026244" w:rsidRDefault="00FB5F40" w:rsidP="00061907">
            <w:pPr>
              <w:pStyle w:val="TableText"/>
              <w:ind w:right="113"/>
              <w:rPr>
                <w:rFonts w:ascii="Palatino Linotype" w:hAnsi="Palatino Linotype" w:cs="Arial"/>
                <w:iCs/>
                <w:sz w:val="18"/>
                <w:szCs w:val="18"/>
                <w:lang w:eastAsia="en-US"/>
              </w:rPr>
            </w:pPr>
            <w:r w:rsidRPr="00026244">
              <w:rPr>
                <w:rFonts w:ascii="Palatino Linotype" w:hAnsi="Palatino Linotype" w:cs="Arial"/>
                <w:b/>
                <w:iCs/>
                <w:sz w:val="18"/>
                <w:szCs w:val="18"/>
                <w:lang w:eastAsia="en-US"/>
              </w:rPr>
              <w:t>Cash flows from financing activities</w:t>
            </w:r>
          </w:p>
        </w:tc>
        <w:tc>
          <w:tcPr>
            <w:tcW w:w="1269" w:type="pct"/>
          </w:tcPr>
          <w:p w:rsidR="00FB5F40" w:rsidRPr="00026244" w:rsidRDefault="00FB5F40" w:rsidP="00061907">
            <w:pPr>
              <w:pStyle w:val="tabelt"/>
              <w:ind w:right="93"/>
              <w:rPr>
                <w:rFonts w:ascii="Palatino Linotype" w:hAnsi="Palatino Linotype"/>
                <w:b/>
                <w:sz w:val="18"/>
                <w:szCs w:val="18"/>
              </w:rPr>
            </w:pPr>
          </w:p>
        </w:tc>
        <w:tc>
          <w:tcPr>
            <w:tcW w:w="1044" w:type="pct"/>
          </w:tcPr>
          <w:p w:rsidR="00FB5F40" w:rsidRPr="00026244" w:rsidRDefault="00FB5F40" w:rsidP="00061907">
            <w:pPr>
              <w:pStyle w:val="tabelt"/>
              <w:tabs>
                <w:tab w:val="left" w:pos="1446"/>
              </w:tabs>
              <w:ind w:right="93"/>
              <w:rPr>
                <w:rFonts w:ascii="Palatino Linotype" w:hAnsi="Palatino Linotype"/>
                <w:sz w:val="18"/>
                <w:szCs w:val="18"/>
              </w:rPr>
            </w:pP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Style w:val="hps"/>
                <w:rFonts w:ascii="Palatino Linotype" w:hAnsi="Palatino Linotype" w:cs="Arial"/>
                <w:sz w:val="18"/>
                <w:szCs w:val="18"/>
                <w:lang w:eastAsia="en-US"/>
              </w:rPr>
              <w:t xml:space="preserve">Proceeds </w:t>
            </w:r>
            <w:proofErr w:type="spellStart"/>
            <w:r w:rsidRPr="00026244">
              <w:rPr>
                <w:rStyle w:val="hps"/>
                <w:rFonts w:ascii="Palatino Linotype" w:hAnsi="Palatino Linotype" w:cs="Arial"/>
                <w:sz w:val="18"/>
                <w:szCs w:val="18"/>
                <w:lang w:eastAsia="en-US"/>
              </w:rPr>
              <w:t>fromissue</w:t>
            </w:r>
            <w:proofErr w:type="spellEnd"/>
            <w:r w:rsidRPr="00026244">
              <w:rPr>
                <w:rStyle w:val="hps"/>
                <w:rFonts w:ascii="Palatino Linotype" w:hAnsi="Palatino Linotype" w:cs="Arial"/>
                <w:sz w:val="18"/>
                <w:szCs w:val="18"/>
                <w:lang w:eastAsia="en-US"/>
              </w:rPr>
              <w:t xml:space="preserve"> of share capital</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6,000</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6,000</w:t>
            </w:r>
          </w:p>
        </w:tc>
      </w:tr>
      <w:tr w:rsidR="00FB5F40" w:rsidRPr="00026244" w:rsidTr="004C5503">
        <w:tc>
          <w:tcPr>
            <w:tcW w:w="2687" w:type="pct"/>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 xml:space="preserve">Loans received/(redeemed) from financial institutions  </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2,882</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(1,487)</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b/>
                <w:sz w:val="18"/>
                <w:szCs w:val="18"/>
                <w:lang w:eastAsia="en-US"/>
              </w:rPr>
            </w:pPr>
            <w:r w:rsidRPr="00026244">
              <w:rPr>
                <w:rFonts w:ascii="Palatino Linotype" w:hAnsi="Palatino Linotype" w:cs="Arial"/>
                <w:b/>
                <w:sz w:val="18"/>
                <w:szCs w:val="18"/>
                <w:lang w:eastAsia="en-US"/>
              </w:rPr>
              <w:t>Net cash flow from financing activities</w:t>
            </w:r>
          </w:p>
        </w:tc>
        <w:tc>
          <w:tcPr>
            <w:tcW w:w="1269"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8,882</w:t>
            </w:r>
          </w:p>
        </w:tc>
        <w:tc>
          <w:tcPr>
            <w:tcW w:w="1044"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4,513</w:t>
            </w:r>
          </w:p>
        </w:tc>
      </w:tr>
      <w:tr w:rsidR="00FB5F40" w:rsidRPr="00026244" w:rsidTr="004C5503">
        <w:tc>
          <w:tcPr>
            <w:tcW w:w="2687" w:type="pct"/>
          </w:tcPr>
          <w:p w:rsidR="00FB5F40" w:rsidRPr="00026244" w:rsidRDefault="00FB5F40" w:rsidP="00061907">
            <w:pPr>
              <w:pStyle w:val="TableText"/>
              <w:ind w:right="113"/>
              <w:rPr>
                <w:rFonts w:ascii="Palatino Linotype" w:hAnsi="Palatino Linotype" w:cs="Arial"/>
                <w:sz w:val="18"/>
                <w:szCs w:val="18"/>
                <w:lang w:eastAsia="en-US"/>
              </w:rPr>
            </w:pPr>
            <w:r w:rsidRPr="00026244">
              <w:rPr>
                <w:rFonts w:ascii="Palatino Linotype" w:hAnsi="Palatino Linotype" w:cs="Arial"/>
                <w:b/>
                <w:iCs/>
                <w:sz w:val="18"/>
                <w:szCs w:val="18"/>
                <w:lang w:eastAsia="en-US"/>
              </w:rPr>
              <w:t>Net increase in cash and cash equivalents</w:t>
            </w:r>
          </w:p>
        </w:tc>
        <w:tc>
          <w:tcPr>
            <w:tcW w:w="1269"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81,104</w:t>
            </w:r>
          </w:p>
        </w:tc>
        <w:tc>
          <w:tcPr>
            <w:tcW w:w="1044" w:type="pct"/>
          </w:tcPr>
          <w:p w:rsidR="00FB5F40" w:rsidRPr="00026244" w:rsidRDefault="00FB5F40" w:rsidP="00061907">
            <w:pPr>
              <w:pStyle w:val="TableText"/>
              <w:pBdr>
                <w:top w:val="sing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142,158</w:t>
            </w:r>
          </w:p>
        </w:tc>
      </w:tr>
      <w:tr w:rsidR="00FB5F40" w:rsidRPr="00026244" w:rsidTr="004C5503">
        <w:tc>
          <w:tcPr>
            <w:tcW w:w="2687" w:type="pct"/>
            <w:vAlign w:val="bottom"/>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Cash and cash equivalents at the beginning of the year</w:t>
            </w:r>
          </w:p>
        </w:tc>
        <w:tc>
          <w:tcPr>
            <w:tcW w:w="1269" w:type="pct"/>
          </w:tcPr>
          <w:p w:rsidR="00FB5F40" w:rsidRPr="00026244" w:rsidRDefault="00FB5F40" w:rsidP="00061907">
            <w:pPr>
              <w:pStyle w:val="TableText"/>
              <w:tabs>
                <w:tab w:val="left" w:pos="1625"/>
              </w:tabs>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472,027</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331,927</w:t>
            </w:r>
          </w:p>
        </w:tc>
      </w:tr>
      <w:tr w:rsidR="00FB5F40" w:rsidRPr="00026244" w:rsidTr="004C5503">
        <w:tc>
          <w:tcPr>
            <w:tcW w:w="2687" w:type="pct"/>
            <w:vAlign w:val="bottom"/>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sz w:val="18"/>
                <w:szCs w:val="18"/>
                <w:lang w:eastAsia="en-US"/>
              </w:rPr>
              <w:t>Exchange differences on cash and cash equivalents</w:t>
            </w:r>
          </w:p>
        </w:tc>
        <w:tc>
          <w:tcPr>
            <w:tcW w:w="1269"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12,966</w:t>
            </w:r>
          </w:p>
        </w:tc>
        <w:tc>
          <w:tcPr>
            <w:tcW w:w="1044" w:type="pct"/>
          </w:tcPr>
          <w:p w:rsidR="00FB5F40" w:rsidRPr="00026244" w:rsidRDefault="00FB5F40" w:rsidP="00061907">
            <w:pPr>
              <w:pStyle w:val="TableText"/>
              <w:ind w:right="113"/>
              <w:jc w:val="right"/>
              <w:rPr>
                <w:rFonts w:ascii="Palatino Linotype" w:hAnsi="Palatino Linotype" w:cs="Arial"/>
                <w:sz w:val="18"/>
                <w:szCs w:val="18"/>
                <w:lang w:eastAsia="en-US"/>
              </w:rPr>
            </w:pPr>
            <w:r w:rsidRPr="00026244">
              <w:rPr>
                <w:rFonts w:ascii="Palatino Linotype" w:hAnsi="Palatino Linotype" w:cs="Arial"/>
                <w:sz w:val="18"/>
                <w:szCs w:val="18"/>
                <w:lang w:eastAsia="en-US"/>
              </w:rPr>
              <w:t>(2,058)</w:t>
            </w:r>
          </w:p>
        </w:tc>
      </w:tr>
      <w:tr w:rsidR="00FB5F40" w:rsidRPr="00026244" w:rsidTr="004C5503">
        <w:tc>
          <w:tcPr>
            <w:tcW w:w="2687" w:type="pct"/>
            <w:vAlign w:val="bottom"/>
          </w:tcPr>
          <w:p w:rsidR="00FB5F40" w:rsidRPr="00026244" w:rsidRDefault="00FB5F40" w:rsidP="00061907">
            <w:pPr>
              <w:pStyle w:val="TableText"/>
              <w:ind w:right="113"/>
              <w:rPr>
                <w:rFonts w:ascii="Palatino Linotype" w:hAnsi="Palatino Linotype" w:cs="Arial"/>
                <w:b/>
                <w:iCs/>
                <w:sz w:val="18"/>
                <w:szCs w:val="18"/>
                <w:lang w:eastAsia="en-US"/>
              </w:rPr>
            </w:pPr>
            <w:r w:rsidRPr="00026244">
              <w:rPr>
                <w:rFonts w:ascii="Palatino Linotype" w:hAnsi="Palatino Linotype" w:cs="Arial"/>
                <w:b/>
                <w:iCs/>
                <w:sz w:val="18"/>
                <w:szCs w:val="18"/>
                <w:lang w:eastAsia="en-US"/>
              </w:rPr>
              <w:t>Cash and cash equivalents at the end of the year (Note 12)</w:t>
            </w:r>
          </w:p>
        </w:tc>
        <w:tc>
          <w:tcPr>
            <w:tcW w:w="1269" w:type="pct"/>
          </w:tcPr>
          <w:p w:rsidR="00FB5F40" w:rsidRPr="00026244" w:rsidRDefault="00FB5F40" w:rsidP="00061907">
            <w:pPr>
              <w:pStyle w:val="TableText"/>
              <w:pBdr>
                <w:top w:val="single" w:sz="6" w:space="1" w:color="auto"/>
                <w:bottom w:val="double" w:sz="6" w:space="1" w:color="auto"/>
              </w:pBdr>
              <w:tabs>
                <w:tab w:val="left" w:pos="1625"/>
              </w:tabs>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566,097</w:t>
            </w:r>
          </w:p>
        </w:tc>
        <w:tc>
          <w:tcPr>
            <w:tcW w:w="1044" w:type="pct"/>
          </w:tcPr>
          <w:p w:rsidR="00FB5F40" w:rsidRPr="00026244" w:rsidRDefault="00FB5F40" w:rsidP="00061907">
            <w:pPr>
              <w:pStyle w:val="TableText"/>
              <w:pBdr>
                <w:top w:val="single" w:sz="6" w:space="1" w:color="auto"/>
                <w:bottom w:val="double" w:sz="6" w:space="1" w:color="auto"/>
              </w:pBdr>
              <w:ind w:right="113"/>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472,027</w:t>
            </w:r>
          </w:p>
        </w:tc>
      </w:tr>
      <w:tr w:rsidR="00FB5F40" w:rsidRPr="00026244" w:rsidTr="004C5503">
        <w:tc>
          <w:tcPr>
            <w:tcW w:w="2687" w:type="pct"/>
            <w:vAlign w:val="bottom"/>
          </w:tcPr>
          <w:p w:rsidR="00FB5F40" w:rsidRPr="00026244" w:rsidRDefault="00FB5F40" w:rsidP="00061907">
            <w:pPr>
              <w:pStyle w:val="TableText"/>
              <w:rPr>
                <w:rFonts w:ascii="Palatino Linotype" w:hAnsi="Palatino Linotype" w:cs="Arial"/>
                <w:sz w:val="18"/>
                <w:szCs w:val="18"/>
                <w:lang w:eastAsia="en-US"/>
              </w:rPr>
            </w:pPr>
            <w:r w:rsidRPr="00026244">
              <w:rPr>
                <w:rFonts w:ascii="Palatino Linotype" w:hAnsi="Palatino Linotype" w:cs="Arial"/>
                <w:b/>
                <w:iCs/>
                <w:sz w:val="18"/>
                <w:szCs w:val="18"/>
                <w:lang w:eastAsia="en-US"/>
              </w:rPr>
              <w:t>Supplementary information:</w:t>
            </w:r>
          </w:p>
        </w:tc>
        <w:tc>
          <w:tcPr>
            <w:tcW w:w="1269" w:type="pct"/>
            <w:vAlign w:val="center"/>
          </w:tcPr>
          <w:p w:rsidR="00FB5F40" w:rsidRPr="00026244" w:rsidRDefault="00FB5F40" w:rsidP="00061907">
            <w:pPr>
              <w:pStyle w:val="TableText"/>
              <w:ind w:right="93"/>
              <w:jc w:val="right"/>
              <w:rPr>
                <w:rFonts w:ascii="Palatino Linotype" w:hAnsi="Palatino Linotype" w:cs="Arial"/>
                <w:b/>
                <w:sz w:val="18"/>
                <w:szCs w:val="18"/>
                <w:lang w:eastAsia="en-US"/>
              </w:rPr>
            </w:pPr>
          </w:p>
        </w:tc>
        <w:tc>
          <w:tcPr>
            <w:tcW w:w="1044" w:type="pct"/>
            <w:vAlign w:val="center"/>
          </w:tcPr>
          <w:p w:rsidR="00FB5F40" w:rsidRPr="00026244" w:rsidRDefault="00FB5F40" w:rsidP="00061907">
            <w:pPr>
              <w:pStyle w:val="TableText"/>
              <w:tabs>
                <w:tab w:val="left" w:pos="1446"/>
              </w:tabs>
              <w:ind w:right="93"/>
              <w:jc w:val="right"/>
              <w:rPr>
                <w:rFonts w:ascii="Palatino Linotype" w:hAnsi="Palatino Linotype" w:cs="Arial"/>
                <w:sz w:val="18"/>
                <w:szCs w:val="18"/>
                <w:lang w:eastAsia="en-US"/>
              </w:rPr>
            </w:pPr>
          </w:p>
        </w:tc>
      </w:tr>
      <w:tr w:rsidR="00FB5F40" w:rsidRPr="00026244" w:rsidTr="005A7C10">
        <w:trPr>
          <w:trHeight w:val="286"/>
        </w:trPr>
        <w:tc>
          <w:tcPr>
            <w:tcW w:w="2687" w:type="pct"/>
            <w:vAlign w:val="bottom"/>
          </w:tcPr>
          <w:p w:rsidR="00FB5F40" w:rsidRPr="00026244" w:rsidRDefault="00FB5F40" w:rsidP="004C5503">
            <w:pPr>
              <w:pStyle w:val="TableText"/>
              <w:rPr>
                <w:rFonts w:ascii="Palatino Linotype" w:hAnsi="Palatino Linotype" w:cs="Arial"/>
                <w:b/>
                <w:sz w:val="18"/>
                <w:szCs w:val="18"/>
                <w:lang w:eastAsia="en-US"/>
              </w:rPr>
            </w:pPr>
            <w:r w:rsidRPr="00026244">
              <w:rPr>
                <w:rFonts w:ascii="Palatino Linotype" w:hAnsi="Palatino Linotype" w:cs="Arial"/>
                <w:b/>
                <w:sz w:val="18"/>
                <w:szCs w:val="18"/>
                <w:lang w:eastAsia="en-US"/>
              </w:rPr>
              <w:t xml:space="preserve">Interest received  </w:t>
            </w:r>
          </w:p>
        </w:tc>
        <w:tc>
          <w:tcPr>
            <w:tcW w:w="1269" w:type="pct"/>
            <w:vAlign w:val="bottom"/>
          </w:tcPr>
          <w:p w:rsidR="00FB5F40" w:rsidRPr="00026244" w:rsidRDefault="00FB5F40" w:rsidP="004C5503">
            <w:pPr>
              <w:pStyle w:val="TableText"/>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42,450</w:t>
            </w:r>
          </w:p>
        </w:tc>
        <w:tc>
          <w:tcPr>
            <w:tcW w:w="1044" w:type="pct"/>
            <w:vAlign w:val="bottom"/>
          </w:tcPr>
          <w:p w:rsidR="00FB5F40" w:rsidRPr="00026244" w:rsidRDefault="00FB5F40" w:rsidP="004C5503">
            <w:pPr>
              <w:pStyle w:val="TableText"/>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33,589</w:t>
            </w:r>
          </w:p>
        </w:tc>
      </w:tr>
      <w:tr w:rsidR="00FB5F40" w:rsidRPr="00026244" w:rsidTr="005A7C10">
        <w:tc>
          <w:tcPr>
            <w:tcW w:w="2687" w:type="pct"/>
            <w:tcBorders>
              <w:bottom w:val="single" w:sz="12" w:space="0" w:color="006600"/>
            </w:tcBorders>
            <w:vAlign w:val="bottom"/>
          </w:tcPr>
          <w:p w:rsidR="00FB5F40" w:rsidRPr="00026244" w:rsidRDefault="00FB5F40" w:rsidP="004C5503">
            <w:pPr>
              <w:pStyle w:val="TableText"/>
              <w:rPr>
                <w:rFonts w:ascii="Palatino Linotype" w:hAnsi="Palatino Linotype" w:cs="Arial"/>
                <w:b/>
                <w:sz w:val="18"/>
                <w:szCs w:val="18"/>
                <w:lang w:eastAsia="en-US"/>
              </w:rPr>
            </w:pPr>
            <w:r w:rsidRPr="00026244">
              <w:rPr>
                <w:rFonts w:ascii="Palatino Linotype" w:hAnsi="Palatino Linotype" w:cs="Arial"/>
                <w:b/>
                <w:sz w:val="18"/>
                <w:szCs w:val="18"/>
                <w:lang w:eastAsia="en-US"/>
              </w:rPr>
              <w:t>Interest paid</w:t>
            </w:r>
          </w:p>
        </w:tc>
        <w:tc>
          <w:tcPr>
            <w:tcW w:w="1269" w:type="pct"/>
            <w:tcBorders>
              <w:bottom w:val="single" w:sz="12" w:space="0" w:color="006600"/>
            </w:tcBorders>
            <w:vAlign w:val="bottom"/>
          </w:tcPr>
          <w:p w:rsidR="00FB5F40" w:rsidRPr="00026244" w:rsidRDefault="00FB5F40" w:rsidP="004C5503">
            <w:pPr>
              <w:pStyle w:val="TableText"/>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52,547</w:t>
            </w:r>
          </w:p>
        </w:tc>
        <w:tc>
          <w:tcPr>
            <w:tcW w:w="1044" w:type="pct"/>
            <w:tcBorders>
              <w:bottom w:val="single" w:sz="12" w:space="0" w:color="006600"/>
            </w:tcBorders>
            <w:vAlign w:val="bottom"/>
          </w:tcPr>
          <w:p w:rsidR="00FB5F40" w:rsidRPr="00026244" w:rsidRDefault="00FB5F40" w:rsidP="004C5503">
            <w:pPr>
              <w:pStyle w:val="TableText"/>
              <w:jc w:val="right"/>
              <w:rPr>
                <w:rFonts w:ascii="Palatino Linotype" w:hAnsi="Palatino Linotype" w:cs="Arial"/>
                <w:b/>
                <w:sz w:val="18"/>
                <w:szCs w:val="18"/>
                <w:lang w:eastAsia="en-US"/>
              </w:rPr>
            </w:pPr>
            <w:r w:rsidRPr="00026244">
              <w:rPr>
                <w:rFonts w:ascii="Palatino Linotype" w:hAnsi="Palatino Linotype" w:cs="Arial"/>
                <w:b/>
                <w:sz w:val="18"/>
                <w:szCs w:val="18"/>
                <w:lang w:eastAsia="en-US"/>
              </w:rPr>
              <w:t>28,099</w:t>
            </w:r>
          </w:p>
        </w:tc>
      </w:tr>
      <w:tr w:rsidR="00FB5F40" w:rsidRPr="00026244" w:rsidTr="005A7C10">
        <w:tc>
          <w:tcPr>
            <w:tcW w:w="2687" w:type="pct"/>
            <w:tcBorders>
              <w:top w:val="single" w:sz="12" w:space="0" w:color="006600"/>
            </w:tcBorders>
          </w:tcPr>
          <w:p w:rsidR="00FB5F40" w:rsidRPr="00026244" w:rsidRDefault="00FB5F40" w:rsidP="00061907">
            <w:pPr>
              <w:pStyle w:val="TableText"/>
              <w:rPr>
                <w:rFonts w:ascii="Palatino Linotype" w:hAnsi="Palatino Linotype" w:cs="Arial"/>
                <w:sz w:val="18"/>
                <w:szCs w:val="18"/>
                <w:lang w:eastAsia="en-US"/>
              </w:rPr>
            </w:pPr>
          </w:p>
        </w:tc>
        <w:tc>
          <w:tcPr>
            <w:tcW w:w="1269" w:type="pct"/>
            <w:tcBorders>
              <w:top w:val="single" w:sz="12" w:space="0" w:color="006600"/>
            </w:tcBorders>
            <w:vAlign w:val="bottom"/>
          </w:tcPr>
          <w:p w:rsidR="00FB5F40" w:rsidRPr="00026244" w:rsidRDefault="00FB5F40" w:rsidP="00061907">
            <w:pPr>
              <w:pStyle w:val="TableText"/>
              <w:ind w:right="113"/>
              <w:jc w:val="right"/>
              <w:rPr>
                <w:rFonts w:ascii="Palatino Linotype" w:hAnsi="Palatino Linotype" w:cs="Arial"/>
                <w:b/>
                <w:sz w:val="18"/>
                <w:szCs w:val="18"/>
                <w:lang w:eastAsia="en-US"/>
              </w:rPr>
            </w:pPr>
          </w:p>
        </w:tc>
        <w:tc>
          <w:tcPr>
            <w:tcW w:w="1044" w:type="pct"/>
            <w:tcBorders>
              <w:top w:val="single" w:sz="12" w:space="0" w:color="006600"/>
            </w:tcBorders>
            <w:vAlign w:val="bottom"/>
          </w:tcPr>
          <w:p w:rsidR="00FB5F40" w:rsidRPr="00026244" w:rsidRDefault="00FB5F40" w:rsidP="00061907">
            <w:pPr>
              <w:pStyle w:val="TableText"/>
              <w:ind w:right="113"/>
              <w:jc w:val="right"/>
              <w:rPr>
                <w:rFonts w:ascii="Palatino Linotype" w:hAnsi="Palatino Linotype" w:cs="Arial"/>
                <w:sz w:val="18"/>
                <w:szCs w:val="18"/>
                <w:lang w:eastAsia="en-US"/>
              </w:rPr>
            </w:pPr>
          </w:p>
        </w:tc>
      </w:tr>
    </w:tbl>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766A11">
      <w:pPr>
        <w:spacing w:after="0"/>
        <w:rPr>
          <w:rFonts w:ascii="Palatino Linotype" w:hAnsi="Palatino Linotype"/>
          <w:b/>
          <w:color w:val="003300"/>
          <w:sz w:val="32"/>
          <w:szCs w:val="32"/>
          <w:lang w:val="tg-Cyrl-TJ"/>
        </w:rPr>
      </w:pPr>
      <w:bookmarkStart w:id="11" w:name="_Toc324614662"/>
      <w:r w:rsidRPr="00026244">
        <w:rPr>
          <w:rFonts w:ascii="Palatino Linotype" w:hAnsi="Palatino Linotype"/>
          <w:b/>
          <w:color w:val="003300"/>
          <w:sz w:val="32"/>
          <w:szCs w:val="32"/>
          <w:lang w:val="tg-Cyrl-TJ"/>
        </w:rPr>
        <w:lastRenderedPageBreak/>
        <w:t>Отчет независимых аудиторов</w:t>
      </w:r>
      <w:bookmarkEnd w:id="11"/>
    </w:p>
    <w:p w:rsidR="00FB5F40" w:rsidRPr="00026244" w:rsidRDefault="00FB5F40" w:rsidP="005A7C10">
      <w:pPr>
        <w:pStyle w:val="CoverTitle"/>
        <w:spacing w:before="0" w:after="0" w:line="240" w:lineRule="auto"/>
        <w:ind w:firstLine="284"/>
        <w:jc w:val="both"/>
        <w:rPr>
          <w:rFonts w:ascii="Palatino Linotype" w:hAnsi="Palatino Linotype"/>
          <w:bCs w:val="0"/>
          <w:kern w:val="0"/>
          <w:sz w:val="22"/>
          <w:szCs w:val="22"/>
          <w:lang w:val="ru-RU"/>
        </w:rPr>
      </w:pPr>
      <w:r w:rsidRPr="00026244">
        <w:rPr>
          <w:rFonts w:ascii="Palatino Linotype" w:hAnsi="Palatino Linotype"/>
          <w:bCs w:val="0"/>
          <w:kern w:val="0"/>
          <w:sz w:val="22"/>
          <w:szCs w:val="22"/>
          <w:lang w:val="ru-RU"/>
        </w:rPr>
        <w:t xml:space="preserve">Акционеру и Совету Директоров </w:t>
      </w:r>
      <w:r w:rsidRPr="00026244">
        <w:rPr>
          <w:rFonts w:ascii="Palatino Linotype" w:hAnsi="Palatino Linotype"/>
          <w:kern w:val="0"/>
          <w:sz w:val="22"/>
          <w:szCs w:val="22"/>
          <w:lang w:val="ru-RU"/>
        </w:rPr>
        <w:t>Государственного сберегательного банка Республики Таджикистан “</w:t>
      </w:r>
      <w:proofErr w:type="spellStart"/>
      <w:r w:rsidRPr="00026244">
        <w:rPr>
          <w:rFonts w:ascii="Palatino Linotype" w:hAnsi="Palatino Linotype"/>
          <w:kern w:val="0"/>
          <w:sz w:val="22"/>
          <w:szCs w:val="22"/>
          <w:lang w:val="ru-RU"/>
        </w:rPr>
        <w:t>Aмонатбонк</w:t>
      </w:r>
      <w:proofErr w:type="spellEnd"/>
      <w:r w:rsidRPr="00026244">
        <w:rPr>
          <w:rFonts w:ascii="Palatino Linotype" w:hAnsi="Palatino Linotype"/>
          <w:kern w:val="0"/>
          <w:sz w:val="22"/>
          <w:szCs w:val="22"/>
          <w:lang w:val="ru-RU"/>
        </w:rPr>
        <w:t>”.</w:t>
      </w:r>
    </w:p>
    <w:p w:rsidR="00FB5F40" w:rsidRPr="00026244" w:rsidRDefault="00FB5F40" w:rsidP="005A7C10">
      <w:pPr>
        <w:pStyle w:val="af2"/>
        <w:ind w:firstLine="284"/>
        <w:jc w:val="both"/>
        <w:rPr>
          <w:rFonts w:ascii="Palatino Linotype" w:hAnsi="Palatino Linotype"/>
        </w:rPr>
      </w:pPr>
      <w:bookmarkStart w:id="12" w:name="Aud_rep"/>
      <w:r w:rsidRPr="00026244">
        <w:rPr>
          <w:rFonts w:ascii="Palatino Linotype" w:hAnsi="Palatino Linotype"/>
        </w:rPr>
        <w:t>Нами проведен аудит прилагаемой финансовой отчетности ГСБ РТ “</w:t>
      </w:r>
      <w:proofErr w:type="spellStart"/>
      <w:r w:rsidRPr="00026244">
        <w:rPr>
          <w:rFonts w:ascii="Palatino Linotype" w:hAnsi="Palatino Linotype"/>
        </w:rPr>
        <w:t>Aмонатбонк</w:t>
      </w:r>
      <w:proofErr w:type="spellEnd"/>
      <w:r w:rsidRPr="00026244">
        <w:rPr>
          <w:rFonts w:ascii="Palatino Linotype" w:hAnsi="Palatino Linotype"/>
        </w:rPr>
        <w:t>”  (далее “Банк”), состоящей из отчета о финансовом положении Банка на 31 декабря 2011 года, отчета о совокупном доходе, отчета об изменениях в собственном капитале, отчета о движении денежных средств за год, закончившийся на указанную дату, а также описания основных принципов составления финансовой отчетности и прочих объяснительных примечаний.</w:t>
      </w:r>
    </w:p>
    <w:bookmarkEnd w:id="12"/>
    <w:p w:rsidR="00FB5F40" w:rsidRPr="00026244" w:rsidRDefault="00FB5F40" w:rsidP="005A7C10">
      <w:pPr>
        <w:pStyle w:val="af2"/>
        <w:ind w:firstLine="284"/>
        <w:rPr>
          <w:rFonts w:ascii="Palatino Linotype" w:hAnsi="Palatino Linotype"/>
          <w:b/>
        </w:rPr>
      </w:pPr>
      <w:r w:rsidRPr="00026244">
        <w:rPr>
          <w:rFonts w:ascii="Palatino Linotype" w:hAnsi="Palatino Linotype"/>
          <w:b/>
          <w:i/>
          <w:iCs/>
        </w:rPr>
        <w:t>Положение об ответственности руководства за финансовую отчетность</w:t>
      </w:r>
    </w:p>
    <w:p w:rsidR="00FB5F40" w:rsidRPr="00026244" w:rsidRDefault="00FB5F40" w:rsidP="005A7C10">
      <w:pPr>
        <w:pStyle w:val="af2"/>
        <w:ind w:firstLine="284"/>
        <w:jc w:val="both"/>
        <w:rPr>
          <w:rFonts w:ascii="Palatino Linotype" w:hAnsi="Palatino Linotype"/>
        </w:rPr>
      </w:pPr>
      <w:r w:rsidRPr="00026244">
        <w:rPr>
          <w:rFonts w:ascii="Palatino Linotype" w:hAnsi="Palatino Linotype"/>
        </w:rPr>
        <w:t xml:space="preserve">Ответственность за составление и достоверное представление данной  финансовой отчетности в соответствии с международными стандартами финансовой отчетности несет руководство. Ответственность руководства включает в себя: </w:t>
      </w:r>
      <w:proofErr w:type="spellStart"/>
      <w:r w:rsidRPr="00026244">
        <w:rPr>
          <w:rFonts w:ascii="Palatino Linotype" w:hAnsi="Palatino Linotype"/>
        </w:rPr>
        <w:t>разрабатывание</w:t>
      </w:r>
      <w:proofErr w:type="spellEnd"/>
      <w:r w:rsidRPr="00026244">
        <w:rPr>
          <w:rFonts w:ascii="Palatino Linotype" w:hAnsi="Palatino Linotype"/>
        </w:rPr>
        <w:t xml:space="preserve">, внедрение и поддерживание системы внутреннего контроля, необходимой для подготовки и достоверного отражения финансовой отчетности, которая не содержит в себе материальных искажений, произошедших в результате </w:t>
      </w:r>
      <w:proofErr w:type="spellStart"/>
      <w:r w:rsidRPr="00026244">
        <w:rPr>
          <w:rFonts w:ascii="Palatino Linotype" w:hAnsi="Palatino Linotype"/>
        </w:rPr>
        <w:t>мошеничества</w:t>
      </w:r>
      <w:proofErr w:type="spellEnd"/>
      <w:r w:rsidRPr="00026244">
        <w:rPr>
          <w:rFonts w:ascii="Palatino Linotype" w:hAnsi="Palatino Linotype"/>
        </w:rPr>
        <w:t xml:space="preserve"> или ошибок; выбор надлежащих принципов бухгалтерского учета и последовательное их применение; применение обоснованных и осмотрительных суждений и оценок.</w:t>
      </w:r>
    </w:p>
    <w:p w:rsidR="00FB5F40" w:rsidRPr="00026244" w:rsidRDefault="00FB5F40" w:rsidP="005A7C10">
      <w:pPr>
        <w:pStyle w:val="af2"/>
        <w:ind w:firstLine="284"/>
        <w:rPr>
          <w:rFonts w:ascii="Palatino Linotype" w:hAnsi="Palatino Linotype"/>
          <w:b/>
        </w:rPr>
      </w:pPr>
      <w:r w:rsidRPr="00026244">
        <w:rPr>
          <w:rFonts w:ascii="Palatino Linotype" w:hAnsi="Palatino Linotype"/>
          <w:b/>
          <w:i/>
          <w:iCs/>
        </w:rPr>
        <w:t>Ответственность Аудитора</w:t>
      </w:r>
    </w:p>
    <w:p w:rsidR="00FB5F40" w:rsidRPr="00026244" w:rsidRDefault="00FB5F40" w:rsidP="005A7C10">
      <w:pPr>
        <w:pStyle w:val="af2"/>
        <w:ind w:firstLine="284"/>
        <w:jc w:val="both"/>
        <w:rPr>
          <w:rFonts w:ascii="Palatino Linotype" w:hAnsi="Palatino Linotype"/>
        </w:rPr>
      </w:pPr>
      <w:r w:rsidRPr="00026244">
        <w:rPr>
          <w:rFonts w:ascii="Palatino Linotype" w:hAnsi="Palatino Linotype"/>
        </w:rPr>
        <w:t xml:space="preserve">Наша обязанность заключается в выражении мнения о достоверности данной  финансовой отчетности на основе проведенного нами аудита.  Мы провели аудит в соответствии с международными стандартами аудита. Согласно данным стандартам аудитор должен следовать требованиям этики и планировать и проводить аудит таким образом, чтобы получить достаточную уверенность в том, что финансовая отчетность не содержит существенных искажений.  </w:t>
      </w:r>
    </w:p>
    <w:p w:rsidR="00FB5F40" w:rsidRPr="00026244" w:rsidRDefault="00FB5F40" w:rsidP="005A7C10">
      <w:pPr>
        <w:pStyle w:val="af2"/>
        <w:ind w:firstLine="284"/>
        <w:jc w:val="both"/>
        <w:rPr>
          <w:rFonts w:ascii="Palatino Linotype" w:hAnsi="Palatino Linotype"/>
        </w:rPr>
      </w:pPr>
      <w:r w:rsidRPr="00026244">
        <w:rPr>
          <w:rFonts w:ascii="Palatino Linotype" w:hAnsi="Palatino Linotype"/>
        </w:rPr>
        <w:t xml:space="preserve">Аудит включает в себя проведение процедур для приобретения достаточных оснований, подтверждающих финансовую отчетность и прилагаемых к ней примечаний. Выбор процедур зависит от суждений аудитора, данные суждения также применяются при оценке риска существенного искажения финансовой отчетности, произошедшей в результате </w:t>
      </w:r>
      <w:proofErr w:type="spellStart"/>
      <w:r w:rsidRPr="00026244">
        <w:rPr>
          <w:rFonts w:ascii="Palatino Linotype" w:hAnsi="Palatino Linotype"/>
        </w:rPr>
        <w:t>мошеничества</w:t>
      </w:r>
      <w:proofErr w:type="spellEnd"/>
      <w:r w:rsidRPr="00026244">
        <w:rPr>
          <w:rFonts w:ascii="Palatino Linotype" w:hAnsi="Palatino Linotype"/>
        </w:rPr>
        <w:t xml:space="preserve"> либо ошибок.  При оценке риска, аудитор принимает во внимание систему внутреннего контроля Банка, применяемую к приготовлению и достоверному представлению финансовой отчетности, для того, чтобы разработать соответствующие обстоятельствам процедуры проверки, но не для выражения мнения о внутреннем контроле Банка.</w:t>
      </w:r>
    </w:p>
    <w:p w:rsidR="00FB5F40" w:rsidRPr="00026244" w:rsidRDefault="00FB5F40" w:rsidP="005A7C10">
      <w:pPr>
        <w:pStyle w:val="af2"/>
        <w:ind w:firstLine="284"/>
        <w:jc w:val="both"/>
        <w:rPr>
          <w:rFonts w:ascii="Palatino Linotype" w:hAnsi="Palatino Linotype"/>
        </w:rPr>
      </w:pPr>
      <w:r w:rsidRPr="00026244">
        <w:rPr>
          <w:rFonts w:ascii="Palatino Linotype" w:hAnsi="Palatino Linotype"/>
        </w:rPr>
        <w:t>Аудит также включает в себя оценку применяемых принципов учетной политики и существенных оценок, принятых руководством, а также представления финансовой отчетности в целом.</w:t>
      </w:r>
    </w:p>
    <w:p w:rsidR="00FB5F40" w:rsidRPr="00026244" w:rsidRDefault="00FB5F40" w:rsidP="005A7C10">
      <w:pPr>
        <w:pStyle w:val="af2"/>
        <w:ind w:firstLine="284"/>
        <w:jc w:val="both"/>
        <w:rPr>
          <w:rFonts w:ascii="Palatino Linotype" w:hAnsi="Palatino Linotype"/>
        </w:rPr>
      </w:pPr>
      <w:r w:rsidRPr="00026244">
        <w:rPr>
          <w:rFonts w:ascii="Palatino Linotype" w:hAnsi="Palatino Linotype"/>
        </w:rPr>
        <w:t>Мы полагаем, что проведенный нами аудит дает нам достаточно оснований для выражения мнения относительно достоверности финансовой отчетности.</w:t>
      </w:r>
    </w:p>
    <w:p w:rsidR="00FB5F40" w:rsidRPr="00026244" w:rsidRDefault="00FB5F40" w:rsidP="005A7C10">
      <w:pPr>
        <w:pStyle w:val="af2"/>
        <w:ind w:firstLine="284"/>
        <w:jc w:val="both"/>
        <w:rPr>
          <w:rFonts w:ascii="Palatino Linotype" w:hAnsi="Palatino Linotype"/>
        </w:rPr>
      </w:pPr>
    </w:p>
    <w:p w:rsidR="00766A11" w:rsidRPr="00026244" w:rsidRDefault="00766A11" w:rsidP="005A7C10">
      <w:pPr>
        <w:pStyle w:val="af2"/>
        <w:ind w:firstLine="284"/>
        <w:jc w:val="both"/>
        <w:rPr>
          <w:rFonts w:ascii="Palatino Linotype" w:hAnsi="Palatino Linotype"/>
        </w:rPr>
      </w:pPr>
    </w:p>
    <w:p w:rsidR="00FB5F40" w:rsidRPr="00026244" w:rsidRDefault="00FB5F40" w:rsidP="005A7C10">
      <w:pPr>
        <w:pStyle w:val="af2"/>
        <w:ind w:firstLine="284"/>
        <w:rPr>
          <w:rFonts w:ascii="Palatino Linotype" w:hAnsi="Palatino Linotype"/>
          <w:b/>
          <w:i/>
          <w:iCs/>
        </w:rPr>
      </w:pPr>
      <w:proofErr w:type="spellStart"/>
      <w:r w:rsidRPr="00026244">
        <w:rPr>
          <w:rFonts w:ascii="Palatino Linotype" w:hAnsi="Palatino Linotype"/>
          <w:b/>
          <w:i/>
          <w:iCs/>
        </w:rPr>
        <w:lastRenderedPageBreak/>
        <w:t>Осн</w:t>
      </w:r>
      <w:proofErr w:type="spellEnd"/>
      <w:proofErr w:type="gramStart"/>
      <w:r w:rsidRPr="00026244">
        <w:rPr>
          <w:rFonts w:ascii="Palatino Linotype" w:hAnsi="Palatino Linotype"/>
          <w:b/>
          <w:i/>
          <w:iCs/>
          <w:lang w:val="en-US"/>
        </w:rPr>
        <w:t>o</w:t>
      </w:r>
      <w:proofErr w:type="spellStart"/>
      <w:proofErr w:type="gramEnd"/>
      <w:r w:rsidRPr="00026244">
        <w:rPr>
          <w:rFonts w:ascii="Palatino Linotype" w:hAnsi="Palatino Linotype"/>
          <w:b/>
          <w:i/>
          <w:iCs/>
        </w:rPr>
        <w:t>вание</w:t>
      </w:r>
      <w:proofErr w:type="spellEnd"/>
      <w:r w:rsidRPr="00026244">
        <w:rPr>
          <w:rFonts w:ascii="Palatino Linotype" w:hAnsi="Palatino Linotype"/>
          <w:b/>
          <w:i/>
          <w:iCs/>
        </w:rPr>
        <w:t xml:space="preserve"> для заключения с оговорками</w:t>
      </w:r>
    </w:p>
    <w:p w:rsidR="00FB5F40" w:rsidRPr="00026244" w:rsidRDefault="00FB5F40" w:rsidP="005A7C10">
      <w:pPr>
        <w:pStyle w:val="af2"/>
        <w:ind w:firstLine="284"/>
        <w:jc w:val="both"/>
        <w:rPr>
          <w:rFonts w:ascii="Palatino Linotype" w:hAnsi="Palatino Linotype"/>
        </w:rPr>
      </w:pPr>
      <w:r w:rsidRPr="00026244">
        <w:rPr>
          <w:rFonts w:ascii="Palatino Linotype" w:hAnsi="Palatino Linotype"/>
        </w:rPr>
        <w:t xml:space="preserve">На 31 декабря 2008г. Банк провел переоценку своих зданий на сумму в 75,923 тысяч </w:t>
      </w:r>
      <w:proofErr w:type="spellStart"/>
      <w:r w:rsidRPr="00026244">
        <w:rPr>
          <w:rFonts w:ascii="Palatino Linotype" w:hAnsi="Palatino Linotype"/>
        </w:rPr>
        <w:t>сомони</w:t>
      </w:r>
      <w:proofErr w:type="spellEnd"/>
      <w:r w:rsidRPr="00026244">
        <w:rPr>
          <w:rFonts w:ascii="Palatino Linotype" w:hAnsi="Palatino Linotype"/>
        </w:rPr>
        <w:t xml:space="preserve"> в соответствии с государственными стандартами по переоценке Республики Таджикистан. Банк не смог предоставить нам достаточные аудиторские доказательства, подтверждающие данную переоценку на соответствие с Международными стандартами оценки. В результате, мы не смогли удостовериться в правильности справедливой стоимости основных средств, остатков и корректировок по переоценке и расходов на амортизацию Банка на отчетный период.</w:t>
      </w:r>
    </w:p>
    <w:p w:rsidR="00FB5F40" w:rsidRPr="00026244" w:rsidRDefault="00FB5F40" w:rsidP="005A7C10">
      <w:pPr>
        <w:pStyle w:val="af2"/>
        <w:ind w:firstLine="284"/>
        <w:rPr>
          <w:rFonts w:ascii="Palatino Linotype" w:hAnsi="Palatino Linotype"/>
          <w:b/>
          <w:i/>
          <w:iCs/>
        </w:rPr>
      </w:pPr>
      <w:r w:rsidRPr="00026244">
        <w:rPr>
          <w:rFonts w:ascii="Palatino Linotype" w:hAnsi="Palatino Linotype"/>
          <w:b/>
          <w:i/>
          <w:iCs/>
        </w:rPr>
        <w:t>Мнение с оговорками</w:t>
      </w:r>
    </w:p>
    <w:p w:rsidR="00FB5F40" w:rsidRPr="00026244" w:rsidRDefault="00FB5F40" w:rsidP="005A7C10">
      <w:pPr>
        <w:pStyle w:val="af2"/>
        <w:ind w:firstLine="284"/>
        <w:jc w:val="both"/>
        <w:rPr>
          <w:rFonts w:ascii="Palatino Linotype" w:hAnsi="Palatino Linotype"/>
        </w:rPr>
      </w:pPr>
      <w:r w:rsidRPr="00026244">
        <w:rPr>
          <w:rFonts w:ascii="Palatino Linotype" w:hAnsi="Palatino Linotype"/>
        </w:rPr>
        <w:t xml:space="preserve">По нашему мнению, за исключением влияния возможных обстоятельств на соответствующие показатели корректировок (при наличии таковых), которые могли быть необходимыми, в случае получения  достаточных </w:t>
      </w:r>
      <w:proofErr w:type="spellStart"/>
      <w:r w:rsidRPr="00026244">
        <w:rPr>
          <w:rFonts w:ascii="Palatino Linotype" w:hAnsi="Palatino Linotype"/>
        </w:rPr>
        <w:t>доказательтв</w:t>
      </w:r>
      <w:proofErr w:type="spellEnd"/>
      <w:r w:rsidRPr="00026244">
        <w:rPr>
          <w:rFonts w:ascii="Palatino Linotype" w:hAnsi="Palatino Linotype"/>
        </w:rPr>
        <w:t xml:space="preserve"> относительно обстоятельств, изложенных в </w:t>
      </w:r>
      <w:proofErr w:type="spellStart"/>
      <w:r w:rsidRPr="00026244">
        <w:rPr>
          <w:rFonts w:ascii="Palatino Linotype" w:hAnsi="Palatino Linotype"/>
        </w:rPr>
        <w:t>предыдушем</w:t>
      </w:r>
      <w:proofErr w:type="spellEnd"/>
      <w:r w:rsidRPr="00026244">
        <w:rPr>
          <w:rFonts w:ascii="Palatino Linotype" w:hAnsi="Palatino Linotype"/>
        </w:rPr>
        <w:t xml:space="preserve"> разделе, финансовая отчетность во всех существенных отношениях достоверно отражает финансовое положение  ГСБ РТ “</w:t>
      </w:r>
      <w:proofErr w:type="spellStart"/>
      <w:r w:rsidRPr="00026244">
        <w:rPr>
          <w:rFonts w:ascii="Palatino Linotype" w:hAnsi="Palatino Linotype"/>
        </w:rPr>
        <w:t>Aмонатбонк</w:t>
      </w:r>
      <w:proofErr w:type="spellEnd"/>
      <w:r w:rsidRPr="00026244">
        <w:rPr>
          <w:rFonts w:ascii="Palatino Linotype" w:hAnsi="Palatino Linotype"/>
        </w:rPr>
        <w:t xml:space="preserve">”  на 31 декабря 2011 года, а также результаты ее деятельности и денежных средств за год, закончившийся на эту дату, в соответствии с требованиями Международных стандартов финансовой отчетности. </w:t>
      </w:r>
    </w:p>
    <w:p w:rsidR="00FB5F40" w:rsidRPr="00026244" w:rsidRDefault="00FB5F40" w:rsidP="005A7C10">
      <w:pPr>
        <w:pStyle w:val="af2"/>
        <w:ind w:firstLine="284"/>
        <w:rPr>
          <w:rFonts w:ascii="Palatino Linotype" w:hAnsi="Palatino Linotype"/>
        </w:rPr>
      </w:pPr>
    </w:p>
    <w:p w:rsidR="00FB5F40" w:rsidRPr="00026244" w:rsidRDefault="006B0B2F" w:rsidP="005A7C10">
      <w:pPr>
        <w:pStyle w:val="af2"/>
        <w:spacing w:after="0" w:line="240" w:lineRule="auto"/>
        <w:ind w:firstLine="284"/>
        <w:rPr>
          <w:rFonts w:ascii="Palatino Linotype" w:hAnsi="Palatino Linotype"/>
          <w:b/>
          <w:lang w:val="en-US"/>
        </w:rPr>
      </w:pPr>
      <w:r w:rsidRPr="00026244">
        <w:rPr>
          <w:noProof/>
          <w:lang w:eastAsia="ru-RU"/>
        </w:rPr>
        <w:drawing>
          <wp:anchor distT="0" distB="0" distL="114300" distR="114300" simplePos="0" relativeHeight="251664896" behindDoc="0" locked="0" layoutInCell="1" allowOverlap="1" wp14:anchorId="437DFD87" wp14:editId="5373F603">
            <wp:simplePos x="0" y="0"/>
            <wp:positionH relativeFrom="column">
              <wp:posOffset>2270125</wp:posOffset>
            </wp:positionH>
            <wp:positionV relativeFrom="paragraph">
              <wp:posOffset>201295</wp:posOffset>
            </wp:positionV>
            <wp:extent cx="2760345" cy="319405"/>
            <wp:effectExtent l="0" t="0" r="0" b="0"/>
            <wp:wrapNone/>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0345" cy="319405"/>
                    </a:xfrm>
                    <a:prstGeom prst="rect">
                      <a:avLst/>
                    </a:prstGeom>
                    <a:noFill/>
                  </pic:spPr>
                </pic:pic>
              </a:graphicData>
            </a:graphic>
          </wp:anchor>
        </w:drawing>
      </w:r>
      <w:r w:rsidR="00FB5F40" w:rsidRPr="00026244">
        <w:rPr>
          <w:rFonts w:ascii="Palatino Linotype" w:hAnsi="Palatino Linotype"/>
          <w:b/>
          <w:lang w:val="en-US"/>
        </w:rPr>
        <w:t xml:space="preserve">31 </w:t>
      </w:r>
      <w:r w:rsidR="00FB5F40" w:rsidRPr="00026244">
        <w:rPr>
          <w:rFonts w:ascii="Palatino Linotype" w:hAnsi="Palatino Linotype"/>
          <w:b/>
        </w:rPr>
        <w:t>марта</w:t>
      </w:r>
      <w:r w:rsidR="00FB5F40" w:rsidRPr="00026244">
        <w:rPr>
          <w:rFonts w:ascii="Palatino Linotype" w:hAnsi="Palatino Linotype"/>
          <w:b/>
          <w:lang w:val="en-US"/>
        </w:rPr>
        <w:t xml:space="preserve"> 2012</w:t>
      </w:r>
    </w:p>
    <w:p w:rsidR="00FB5F40" w:rsidRPr="00026244" w:rsidRDefault="00FB5F40" w:rsidP="005A7C10">
      <w:pPr>
        <w:spacing w:after="0" w:line="240" w:lineRule="auto"/>
        <w:ind w:firstLine="284"/>
        <w:rPr>
          <w:rFonts w:ascii="Palatino Linotype" w:hAnsi="Palatino Linotype"/>
          <w:b/>
          <w:lang w:val="en-US"/>
        </w:rPr>
      </w:pPr>
      <w:proofErr w:type="spellStart"/>
      <w:r w:rsidRPr="00026244">
        <w:rPr>
          <w:rFonts w:ascii="Palatino Linotype" w:hAnsi="Palatino Linotype"/>
          <w:b/>
        </w:rPr>
        <w:t>ОООГрантТорнтон</w:t>
      </w:r>
      <w:proofErr w:type="spellEnd"/>
    </w:p>
    <w:p w:rsidR="00FB5F40" w:rsidRPr="00026244" w:rsidRDefault="00FB5F40" w:rsidP="005A7C10">
      <w:pPr>
        <w:spacing w:after="0" w:line="240" w:lineRule="auto"/>
        <w:ind w:firstLine="284"/>
        <w:rPr>
          <w:rFonts w:ascii="Palatino Linotype" w:hAnsi="Palatino Linotype"/>
          <w:b/>
          <w:lang w:val="en-US"/>
        </w:rPr>
      </w:pPr>
      <w:r w:rsidRPr="00026244">
        <w:rPr>
          <w:rFonts w:ascii="Palatino Linotype" w:hAnsi="Palatino Linotype"/>
          <w:b/>
        </w:rPr>
        <w:t>Душанбе</w:t>
      </w: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1F678E">
      <w:pPr>
        <w:spacing w:after="0"/>
        <w:ind w:firstLine="284"/>
        <w:jc w:val="both"/>
        <w:rPr>
          <w:rFonts w:ascii="Palatino Linotype" w:hAnsi="Palatino Linotype"/>
          <w:lang w:val="en-US"/>
        </w:rPr>
      </w:pPr>
    </w:p>
    <w:p w:rsidR="00FB5F40" w:rsidRPr="00026244" w:rsidRDefault="00FB5F40" w:rsidP="00766A11">
      <w:pPr>
        <w:spacing w:after="0"/>
        <w:rPr>
          <w:rFonts w:ascii="Palatino Linotype" w:hAnsi="Palatino Linotype"/>
          <w:b/>
          <w:color w:val="003300"/>
          <w:sz w:val="32"/>
          <w:szCs w:val="32"/>
          <w:lang w:val="tg-Cyrl-TJ"/>
        </w:rPr>
      </w:pPr>
      <w:bookmarkStart w:id="13" w:name="_Toc323507382"/>
      <w:r w:rsidRPr="00026244">
        <w:rPr>
          <w:rFonts w:ascii="Palatino Linotype" w:hAnsi="Palatino Linotype"/>
          <w:b/>
          <w:color w:val="003300"/>
          <w:sz w:val="32"/>
          <w:szCs w:val="32"/>
          <w:lang w:val="tg-Cyrl-TJ"/>
        </w:rPr>
        <w:lastRenderedPageBreak/>
        <w:t>Independent auditor’s report</w:t>
      </w:r>
      <w:bookmarkEnd w:id="13"/>
    </w:p>
    <w:p w:rsidR="00FB5F40" w:rsidRPr="00026244" w:rsidRDefault="00FB5F40" w:rsidP="005A7C10">
      <w:pPr>
        <w:pStyle w:val="af2"/>
        <w:ind w:firstLine="284"/>
        <w:jc w:val="both"/>
        <w:rPr>
          <w:rFonts w:ascii="Palatino Linotype" w:hAnsi="Palatino Linotype"/>
          <w:lang w:val="en-US"/>
        </w:rPr>
      </w:pPr>
      <w:r w:rsidRPr="00026244">
        <w:rPr>
          <w:rFonts w:ascii="Palatino Linotype" w:hAnsi="Palatino Linotype"/>
          <w:lang w:val="en-US"/>
        </w:rPr>
        <w:t xml:space="preserve">To the Shareholders and Board of State Savings Bank of the </w:t>
      </w:r>
      <w:proofErr w:type="spellStart"/>
      <w:r w:rsidRPr="00026244">
        <w:rPr>
          <w:rFonts w:ascii="Palatino Linotype" w:hAnsi="Palatino Linotype"/>
          <w:lang w:val="en-US"/>
        </w:rPr>
        <w:t>Repulic</w:t>
      </w:r>
      <w:proofErr w:type="spellEnd"/>
      <w:r w:rsidRPr="00026244">
        <w:rPr>
          <w:rFonts w:ascii="Palatino Linotype" w:hAnsi="Palatino Linotype"/>
          <w:lang w:val="en-US"/>
        </w:rPr>
        <w:t xml:space="preserve"> of Tajikistan “</w:t>
      </w:r>
      <w:proofErr w:type="spellStart"/>
      <w:r w:rsidRPr="00026244">
        <w:rPr>
          <w:rFonts w:ascii="Palatino Linotype" w:hAnsi="Palatino Linotype"/>
          <w:lang w:val="en-US"/>
        </w:rPr>
        <w:t>Amonatbonk</w:t>
      </w:r>
      <w:proofErr w:type="spellEnd"/>
      <w:r w:rsidRPr="00026244">
        <w:rPr>
          <w:rFonts w:ascii="Palatino Linotype" w:hAnsi="Palatino Linotype"/>
          <w:lang w:val="en-US"/>
        </w:rPr>
        <w:t>”:</w:t>
      </w:r>
    </w:p>
    <w:p w:rsidR="00FB5F40" w:rsidRPr="00026244" w:rsidRDefault="00FB5F40" w:rsidP="005A7C10">
      <w:pPr>
        <w:pStyle w:val="af2"/>
        <w:tabs>
          <w:tab w:val="left" w:pos="5400"/>
        </w:tabs>
        <w:ind w:firstLine="284"/>
        <w:jc w:val="both"/>
        <w:rPr>
          <w:rFonts w:ascii="Palatino Linotype" w:hAnsi="Palatino Linotype"/>
          <w:lang w:val="en-US"/>
        </w:rPr>
      </w:pPr>
      <w:r w:rsidRPr="00026244">
        <w:rPr>
          <w:rFonts w:ascii="Palatino Linotype" w:hAnsi="Palatino Linotype"/>
          <w:lang w:val="en-US"/>
        </w:rPr>
        <w:t xml:space="preserve">We have audited the accompanying financial statements of State Savings Bank of the </w:t>
      </w:r>
      <w:proofErr w:type="spellStart"/>
      <w:r w:rsidRPr="00026244">
        <w:rPr>
          <w:rFonts w:ascii="Palatino Linotype" w:hAnsi="Palatino Linotype"/>
          <w:lang w:val="en-US"/>
        </w:rPr>
        <w:t>Repulic</w:t>
      </w:r>
      <w:proofErr w:type="spellEnd"/>
      <w:r w:rsidRPr="00026244">
        <w:rPr>
          <w:rFonts w:ascii="Palatino Linotype" w:hAnsi="Palatino Linotype"/>
          <w:lang w:val="en-US"/>
        </w:rPr>
        <w:t xml:space="preserve"> of Tajikistan “</w:t>
      </w:r>
      <w:proofErr w:type="spellStart"/>
      <w:r w:rsidRPr="00026244">
        <w:rPr>
          <w:rFonts w:ascii="Palatino Linotype" w:hAnsi="Palatino Linotype"/>
          <w:lang w:val="en-US"/>
        </w:rPr>
        <w:t>Amonatbonk</w:t>
      </w:r>
      <w:proofErr w:type="spellEnd"/>
      <w:r w:rsidRPr="00026244">
        <w:rPr>
          <w:rFonts w:ascii="Palatino Linotype" w:hAnsi="Palatino Linotype"/>
          <w:lang w:val="en-US"/>
        </w:rPr>
        <w:t>” (the “Bank”), which comprise the statement of financial position as at December 31, 2011, the statement of comprehensive income, statement of changes in equity and statement of cash flows for the year then ended, and a summary of significant accounting policies and other explanatory information.</w:t>
      </w:r>
    </w:p>
    <w:p w:rsidR="00FB5F40" w:rsidRPr="00026244" w:rsidRDefault="00FB5F40" w:rsidP="005A7C10">
      <w:pPr>
        <w:pStyle w:val="af2"/>
        <w:ind w:firstLine="284"/>
        <w:jc w:val="both"/>
        <w:rPr>
          <w:rFonts w:ascii="Palatino Linotype" w:hAnsi="Palatino Linotype"/>
          <w:b/>
          <w:i/>
          <w:lang w:val="en-US"/>
        </w:rPr>
      </w:pPr>
      <w:r w:rsidRPr="00026244">
        <w:rPr>
          <w:rFonts w:ascii="Palatino Linotype" w:hAnsi="Palatino Linotype"/>
          <w:b/>
          <w:i/>
          <w:lang w:val="en-US"/>
        </w:rPr>
        <w:t>Management’s responsibility for the financial statements</w:t>
      </w:r>
    </w:p>
    <w:p w:rsidR="00FB5F40" w:rsidRPr="00026244" w:rsidRDefault="00FB5F40" w:rsidP="005A7C10">
      <w:pPr>
        <w:pStyle w:val="af2"/>
        <w:ind w:firstLine="284"/>
        <w:jc w:val="both"/>
        <w:rPr>
          <w:rFonts w:ascii="Palatino Linotype" w:hAnsi="Palatino Linotype"/>
          <w:lang w:val="en-US"/>
        </w:rPr>
      </w:pPr>
      <w:r w:rsidRPr="00026244">
        <w:rPr>
          <w:rFonts w:ascii="Palatino Linotype" w:hAnsi="Palatino Linotype"/>
          <w:lang w:val="en-US"/>
        </w:rPr>
        <w:t>Management is responsible for the preparation and fair presentation of these financial statements in accordance with International Financial Reporting Standards. This responsibility includes: designing, implementing and maintaining internal control relevant to the preparation and fair presentation of financial statements that are free from material misstatement, whether due to fraud or error; selecting and applying appropriate accounting policies; and making accounting estimates that are reasonable in the circumstances.</w:t>
      </w:r>
    </w:p>
    <w:p w:rsidR="00FB5F40" w:rsidRPr="00026244" w:rsidRDefault="00FB5F40" w:rsidP="005A7C10">
      <w:pPr>
        <w:pStyle w:val="af2"/>
        <w:ind w:firstLine="284"/>
        <w:jc w:val="both"/>
        <w:rPr>
          <w:rFonts w:ascii="Palatino Linotype" w:hAnsi="Palatino Linotype"/>
          <w:b/>
          <w:i/>
          <w:lang w:val="en-US"/>
        </w:rPr>
      </w:pPr>
      <w:r w:rsidRPr="00026244">
        <w:rPr>
          <w:rFonts w:ascii="Palatino Linotype" w:hAnsi="Palatino Linotype"/>
          <w:b/>
          <w:i/>
          <w:lang w:val="en-US"/>
        </w:rPr>
        <w:t>Auditor’s responsibility</w:t>
      </w:r>
    </w:p>
    <w:p w:rsidR="00FB5F40" w:rsidRPr="00026244" w:rsidRDefault="00FB5F40" w:rsidP="005A7C10">
      <w:pPr>
        <w:pStyle w:val="af2"/>
        <w:ind w:firstLine="284"/>
        <w:jc w:val="both"/>
        <w:rPr>
          <w:rFonts w:ascii="Palatino Linotype" w:hAnsi="Palatino Linotype"/>
          <w:lang w:val="en-US"/>
        </w:rPr>
      </w:pPr>
      <w:r w:rsidRPr="00026244">
        <w:rPr>
          <w:rFonts w:ascii="Palatino Linotype" w:hAnsi="Palatino Linotype"/>
          <w:lang w:val="en-US"/>
        </w:rPr>
        <w:t>Our responsibility is to express an opinion on these financial statements based on our audit. We conducted our audit in accordance with International Standards on Auditing.  Those standards require that we comply with ethical requirements and plan and perform the audit to obtain reasonable assurance whether the financial statements are free from material misstatement.</w:t>
      </w:r>
    </w:p>
    <w:p w:rsidR="00FB5F40" w:rsidRPr="00026244" w:rsidRDefault="00FB5F40" w:rsidP="005A7C10">
      <w:pPr>
        <w:pStyle w:val="af2"/>
        <w:ind w:firstLine="284"/>
        <w:jc w:val="both"/>
        <w:rPr>
          <w:rFonts w:ascii="Palatino Linotype" w:hAnsi="Palatino Linotype"/>
          <w:lang w:val="en-US"/>
        </w:rPr>
      </w:pPr>
      <w:r w:rsidRPr="00026244">
        <w:rPr>
          <w:rFonts w:ascii="Palatino Linotype" w:hAnsi="Palatino Linotype"/>
          <w:lang w:val="en-US"/>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Bank’s preparation and fair presentation of the financial statements in order to design audit procedures that are appropriate in the circumstances, but not for the purpose of expressing an opinion on the effectiveness of the Bank’s internal control.</w:t>
      </w:r>
    </w:p>
    <w:p w:rsidR="00FB5F40" w:rsidRPr="00026244" w:rsidRDefault="00FB5F40" w:rsidP="005A7C10">
      <w:pPr>
        <w:pStyle w:val="af2"/>
        <w:ind w:firstLine="284"/>
        <w:jc w:val="both"/>
        <w:rPr>
          <w:rFonts w:ascii="Palatino Linotype" w:hAnsi="Palatino Linotype"/>
          <w:lang w:val="en-US"/>
        </w:rPr>
      </w:pPr>
      <w:r w:rsidRPr="00026244">
        <w:rPr>
          <w:rFonts w:ascii="Palatino Linotype" w:hAnsi="Palatino Linotype"/>
          <w:lang w:val="en-US"/>
        </w:rPr>
        <w:t>An audit also includes evaluating the appropriateness of accounting policies used and the reasonableness of accounting estimates made by management, as well as evaluating the overall presentation of the financial statements.</w:t>
      </w:r>
    </w:p>
    <w:p w:rsidR="00FB5F40" w:rsidRPr="00026244" w:rsidRDefault="00FB5F40" w:rsidP="005A7C10">
      <w:pPr>
        <w:pStyle w:val="af2"/>
        <w:ind w:firstLine="284"/>
        <w:jc w:val="both"/>
        <w:rPr>
          <w:rFonts w:ascii="Palatino Linotype" w:hAnsi="Palatino Linotype"/>
          <w:lang w:val="en-US"/>
        </w:rPr>
      </w:pPr>
      <w:r w:rsidRPr="00026244">
        <w:rPr>
          <w:rFonts w:ascii="Palatino Linotype" w:hAnsi="Palatino Linotype"/>
          <w:lang w:val="en-US"/>
        </w:rPr>
        <w:t>We believe that the audit evidence we have obtained is sufficient and appropriate to provide a basis for our audit opinion.</w:t>
      </w:r>
    </w:p>
    <w:p w:rsidR="00FB5F40" w:rsidRPr="00026244" w:rsidRDefault="00FB5F40" w:rsidP="005A7C10">
      <w:pPr>
        <w:pStyle w:val="af2"/>
        <w:ind w:firstLine="284"/>
        <w:rPr>
          <w:rFonts w:ascii="Palatino Linotype" w:hAnsi="Palatino Linotype"/>
          <w:b/>
          <w:i/>
          <w:iCs/>
          <w:lang w:val="en-US"/>
        </w:rPr>
      </w:pPr>
      <w:r w:rsidRPr="00026244">
        <w:rPr>
          <w:rFonts w:ascii="Palatino Linotype" w:hAnsi="Palatino Linotype"/>
          <w:b/>
          <w:i/>
          <w:iCs/>
          <w:lang w:val="en-US"/>
        </w:rPr>
        <w:t>Basis for qualified opinion</w:t>
      </w:r>
    </w:p>
    <w:p w:rsidR="00FB5F40" w:rsidRPr="00026244" w:rsidRDefault="00FB5F40" w:rsidP="005A7C10">
      <w:pPr>
        <w:pStyle w:val="af2"/>
        <w:ind w:firstLine="284"/>
        <w:jc w:val="both"/>
        <w:rPr>
          <w:rFonts w:ascii="Palatino Linotype" w:hAnsi="Palatino Linotype"/>
          <w:lang w:val="en-US"/>
        </w:rPr>
      </w:pPr>
      <w:r w:rsidRPr="00026244">
        <w:rPr>
          <w:rFonts w:ascii="Palatino Linotype" w:hAnsi="Palatino Linotype"/>
          <w:lang w:val="en-US"/>
        </w:rPr>
        <w:t>As at 31 December 2008 t</w:t>
      </w:r>
      <w:r w:rsidRPr="00026244">
        <w:rPr>
          <w:rStyle w:val="hps"/>
          <w:rFonts w:ascii="Palatino Linotype" w:hAnsi="Palatino Linotype"/>
          <w:lang w:val="en-US"/>
        </w:rPr>
        <w:t xml:space="preserve">he </w:t>
      </w:r>
      <w:proofErr w:type="spellStart"/>
      <w:r w:rsidRPr="00026244">
        <w:rPr>
          <w:rStyle w:val="hps"/>
          <w:rFonts w:ascii="Palatino Linotype" w:hAnsi="Palatino Linotype"/>
          <w:lang w:val="en-US"/>
        </w:rPr>
        <w:t>Bankrevaluedits</w:t>
      </w:r>
      <w:proofErr w:type="spellEnd"/>
      <w:r w:rsidRPr="00026244">
        <w:rPr>
          <w:rStyle w:val="hps"/>
          <w:rFonts w:ascii="Palatino Linotype" w:hAnsi="Palatino Linotype"/>
          <w:lang w:val="en-US"/>
        </w:rPr>
        <w:t xml:space="preserve"> buildings</w:t>
      </w:r>
      <w:r w:rsidRPr="00026244">
        <w:rPr>
          <w:rFonts w:ascii="Palatino Linotype" w:hAnsi="Palatino Linotype"/>
          <w:lang w:val="en-US"/>
        </w:rPr>
        <w:t xml:space="preserve"> at</w:t>
      </w:r>
      <w:r w:rsidRPr="00026244">
        <w:rPr>
          <w:rStyle w:val="hps"/>
          <w:rFonts w:ascii="Palatino Linotype" w:hAnsi="Palatino Linotype"/>
          <w:lang w:val="en-US"/>
        </w:rPr>
        <w:t xml:space="preserve"> the amount of75,923thousandsomoni</w:t>
      </w:r>
      <w:r w:rsidRPr="00026244">
        <w:rPr>
          <w:rFonts w:ascii="Palatino Linotype" w:hAnsi="Palatino Linotype"/>
          <w:lang w:val="en-US"/>
        </w:rPr>
        <w:t xml:space="preserve">. </w:t>
      </w:r>
      <w:r w:rsidRPr="00026244">
        <w:rPr>
          <w:rStyle w:val="hps"/>
          <w:rFonts w:ascii="Palatino Linotype" w:hAnsi="Palatino Linotype"/>
          <w:lang w:val="en-US"/>
        </w:rPr>
        <w:t xml:space="preserve">The </w:t>
      </w:r>
      <w:proofErr w:type="spellStart"/>
      <w:r w:rsidRPr="00026244">
        <w:rPr>
          <w:rStyle w:val="hps"/>
          <w:rFonts w:ascii="Palatino Linotype" w:hAnsi="Palatino Linotype"/>
          <w:lang w:val="en-US"/>
        </w:rPr>
        <w:t>revaluationwas</w:t>
      </w:r>
      <w:proofErr w:type="spellEnd"/>
      <w:r w:rsidRPr="00026244">
        <w:rPr>
          <w:rStyle w:val="hps"/>
          <w:rFonts w:ascii="Palatino Linotype" w:hAnsi="Palatino Linotype"/>
          <w:lang w:val="en-US"/>
        </w:rPr>
        <w:t xml:space="preserve"> performed in </w:t>
      </w:r>
      <w:proofErr w:type="spellStart"/>
      <w:r w:rsidRPr="00026244">
        <w:rPr>
          <w:rStyle w:val="hps"/>
          <w:rFonts w:ascii="Palatino Linotype" w:hAnsi="Palatino Linotype"/>
          <w:lang w:val="en-US"/>
        </w:rPr>
        <w:t>accordancewith</w:t>
      </w:r>
      <w:proofErr w:type="spellEnd"/>
      <w:r w:rsidRPr="00026244">
        <w:rPr>
          <w:rStyle w:val="hps"/>
          <w:rFonts w:ascii="Palatino Linotype" w:hAnsi="Palatino Linotype"/>
          <w:lang w:val="en-US"/>
        </w:rPr>
        <w:t xml:space="preserve"> state </w:t>
      </w:r>
      <w:proofErr w:type="spellStart"/>
      <w:r w:rsidRPr="00026244">
        <w:rPr>
          <w:rStyle w:val="hps"/>
          <w:rFonts w:ascii="Palatino Linotype" w:hAnsi="Palatino Linotype"/>
          <w:lang w:val="en-US"/>
        </w:rPr>
        <w:t>standardsfor</w:t>
      </w:r>
      <w:proofErr w:type="spellEnd"/>
      <w:r w:rsidRPr="00026244">
        <w:rPr>
          <w:rStyle w:val="hps"/>
          <w:rFonts w:ascii="Palatino Linotype" w:hAnsi="Palatino Linotype"/>
          <w:lang w:val="en-US"/>
        </w:rPr>
        <w:t xml:space="preserve"> revaluation </w:t>
      </w:r>
      <w:proofErr w:type="spellStart"/>
      <w:r w:rsidRPr="00026244">
        <w:rPr>
          <w:rStyle w:val="hps"/>
          <w:rFonts w:ascii="Palatino Linotype" w:hAnsi="Palatino Linotype"/>
          <w:lang w:val="en-US"/>
        </w:rPr>
        <w:t>ofthe</w:t>
      </w:r>
      <w:proofErr w:type="spellEnd"/>
      <w:r w:rsidRPr="00026244">
        <w:rPr>
          <w:rStyle w:val="hps"/>
          <w:rFonts w:ascii="Palatino Linotype" w:hAnsi="Palatino Linotype"/>
          <w:lang w:val="en-US"/>
        </w:rPr>
        <w:t xml:space="preserve"> Republic of Tajikistan</w:t>
      </w:r>
      <w:r w:rsidRPr="00026244">
        <w:rPr>
          <w:rFonts w:ascii="Palatino Linotype" w:hAnsi="Palatino Linotype"/>
          <w:lang w:val="en-US"/>
        </w:rPr>
        <w:t xml:space="preserve">. </w:t>
      </w:r>
      <w:r w:rsidRPr="00026244">
        <w:rPr>
          <w:rStyle w:val="hps"/>
          <w:rFonts w:ascii="Palatino Linotype" w:hAnsi="Palatino Linotype"/>
          <w:lang w:val="en-US"/>
        </w:rPr>
        <w:t xml:space="preserve">The </w:t>
      </w:r>
      <w:proofErr w:type="spellStart"/>
      <w:r w:rsidRPr="00026244">
        <w:rPr>
          <w:rStyle w:val="hps"/>
          <w:rFonts w:ascii="Palatino Linotype" w:hAnsi="Palatino Linotype"/>
          <w:lang w:val="en-US"/>
        </w:rPr>
        <w:t>Bankcould</w:t>
      </w:r>
      <w:proofErr w:type="spellEnd"/>
      <w:r w:rsidRPr="00026244">
        <w:rPr>
          <w:rStyle w:val="hps"/>
          <w:rFonts w:ascii="Palatino Linotype" w:hAnsi="Palatino Linotype"/>
          <w:lang w:val="en-US"/>
        </w:rPr>
        <w:t xml:space="preserve"> </w:t>
      </w:r>
      <w:proofErr w:type="spellStart"/>
      <w:r w:rsidRPr="00026244">
        <w:rPr>
          <w:rStyle w:val="hps"/>
          <w:rFonts w:ascii="Palatino Linotype" w:hAnsi="Palatino Linotype"/>
          <w:lang w:val="en-US"/>
        </w:rPr>
        <w:t>notprovide</w:t>
      </w:r>
      <w:proofErr w:type="spellEnd"/>
      <w:r w:rsidRPr="00026244">
        <w:rPr>
          <w:rStyle w:val="hps"/>
          <w:rFonts w:ascii="Palatino Linotype" w:hAnsi="Palatino Linotype"/>
          <w:lang w:val="en-US"/>
        </w:rPr>
        <w:t xml:space="preserve"> </w:t>
      </w:r>
      <w:proofErr w:type="spellStart"/>
      <w:r w:rsidRPr="00026244">
        <w:rPr>
          <w:rStyle w:val="hps"/>
          <w:rFonts w:ascii="Palatino Linotype" w:hAnsi="Palatino Linotype"/>
          <w:lang w:val="en-US"/>
        </w:rPr>
        <w:t>sufficientauditevidence</w:t>
      </w:r>
      <w:proofErr w:type="spellEnd"/>
      <w:r w:rsidRPr="00026244">
        <w:rPr>
          <w:rStyle w:val="hps"/>
          <w:rFonts w:ascii="Palatino Linotype" w:hAnsi="Palatino Linotype"/>
          <w:lang w:val="en-US"/>
        </w:rPr>
        <w:t xml:space="preserve"> confirming </w:t>
      </w:r>
      <w:proofErr w:type="spellStart"/>
      <w:r w:rsidRPr="00026244">
        <w:rPr>
          <w:rStyle w:val="hps"/>
          <w:rFonts w:ascii="Palatino Linotype" w:hAnsi="Palatino Linotype"/>
          <w:lang w:val="en-US"/>
        </w:rPr>
        <w:t>thecompliance</w:t>
      </w:r>
      <w:proofErr w:type="spellEnd"/>
      <w:r w:rsidRPr="00026244">
        <w:rPr>
          <w:rStyle w:val="hps"/>
          <w:rFonts w:ascii="Palatino Linotype" w:hAnsi="Palatino Linotype"/>
          <w:lang w:val="en-US"/>
        </w:rPr>
        <w:t xml:space="preserve"> of the </w:t>
      </w:r>
      <w:proofErr w:type="spellStart"/>
      <w:r w:rsidRPr="00026244">
        <w:rPr>
          <w:rStyle w:val="hps"/>
          <w:rFonts w:ascii="Palatino Linotype" w:hAnsi="Palatino Linotype"/>
          <w:lang w:val="en-US"/>
        </w:rPr>
        <w:t>revaluationwith</w:t>
      </w:r>
      <w:proofErr w:type="spellEnd"/>
      <w:r w:rsidRPr="00026244">
        <w:rPr>
          <w:rStyle w:val="hps"/>
          <w:rFonts w:ascii="Palatino Linotype" w:hAnsi="Palatino Linotype"/>
          <w:lang w:val="en-US"/>
        </w:rPr>
        <w:t xml:space="preserve"> </w:t>
      </w:r>
      <w:proofErr w:type="spellStart"/>
      <w:r w:rsidRPr="00026244">
        <w:rPr>
          <w:rStyle w:val="hps"/>
          <w:rFonts w:ascii="Palatino Linotype" w:hAnsi="Palatino Linotype"/>
          <w:lang w:val="en-US"/>
        </w:rPr>
        <w:t>theInternational</w:t>
      </w:r>
      <w:proofErr w:type="spellEnd"/>
      <w:r w:rsidRPr="00026244">
        <w:rPr>
          <w:rStyle w:val="hps"/>
          <w:rFonts w:ascii="Palatino Linotype" w:hAnsi="Palatino Linotype"/>
          <w:lang w:val="en-US"/>
        </w:rPr>
        <w:t xml:space="preserve"> Valuation Standards</w:t>
      </w:r>
      <w:r w:rsidRPr="00026244">
        <w:rPr>
          <w:rFonts w:ascii="Palatino Linotype" w:hAnsi="Palatino Linotype"/>
          <w:lang w:val="en-US"/>
        </w:rPr>
        <w:t xml:space="preserve">. </w:t>
      </w:r>
      <w:r w:rsidRPr="00026244">
        <w:rPr>
          <w:rStyle w:val="hps"/>
          <w:rFonts w:ascii="Palatino Linotype" w:hAnsi="Palatino Linotype"/>
          <w:lang w:val="en-US"/>
        </w:rPr>
        <w:t xml:space="preserve">As a result </w:t>
      </w:r>
      <w:r w:rsidRPr="00026244">
        <w:rPr>
          <w:rFonts w:ascii="Palatino Linotype" w:hAnsi="Palatino Linotype"/>
          <w:lang w:val="en-US"/>
        </w:rPr>
        <w:t xml:space="preserve">we could not satisfy ourselves </w:t>
      </w:r>
      <w:r w:rsidRPr="00026244">
        <w:rPr>
          <w:rStyle w:val="hps"/>
          <w:rFonts w:ascii="Palatino Linotype" w:hAnsi="Palatino Linotype"/>
          <w:lang w:val="en-US"/>
        </w:rPr>
        <w:t xml:space="preserve">regarding the fair value </w:t>
      </w:r>
      <w:proofErr w:type="spellStart"/>
      <w:r w:rsidRPr="00026244">
        <w:rPr>
          <w:rStyle w:val="hps"/>
          <w:rFonts w:ascii="Palatino Linotype" w:hAnsi="Palatino Linotype"/>
          <w:lang w:val="en-US"/>
        </w:rPr>
        <w:t>ofproperty</w:t>
      </w:r>
      <w:proofErr w:type="spellEnd"/>
      <w:r w:rsidRPr="00026244">
        <w:rPr>
          <w:rStyle w:val="hps"/>
          <w:rFonts w:ascii="Palatino Linotype" w:hAnsi="Palatino Linotype"/>
          <w:lang w:val="en-US"/>
        </w:rPr>
        <w:t xml:space="preserve"> and equipment, appropriateness of revaluation reserve adjustments and depreciation expenses</w:t>
      </w:r>
      <w:r w:rsidRPr="00026244">
        <w:rPr>
          <w:rFonts w:ascii="Palatino Linotype" w:hAnsi="Palatino Linotype"/>
          <w:lang w:val="en-US"/>
        </w:rPr>
        <w:t xml:space="preserve"> for</w:t>
      </w:r>
      <w:r w:rsidRPr="00026244">
        <w:rPr>
          <w:rStyle w:val="hps"/>
          <w:rFonts w:ascii="Palatino Linotype" w:hAnsi="Palatino Linotype"/>
          <w:lang w:val="en-US"/>
        </w:rPr>
        <w:t xml:space="preserve"> the </w:t>
      </w:r>
      <w:proofErr w:type="spellStart"/>
      <w:r w:rsidRPr="00026244">
        <w:rPr>
          <w:rStyle w:val="hps"/>
          <w:rFonts w:ascii="Palatino Linotype" w:hAnsi="Palatino Linotype"/>
          <w:lang w:val="en-US"/>
        </w:rPr>
        <w:t>reportingperiod</w:t>
      </w:r>
      <w:proofErr w:type="spellEnd"/>
      <w:r w:rsidRPr="00026244">
        <w:rPr>
          <w:rStyle w:val="hps"/>
          <w:rFonts w:ascii="Palatino Linotype" w:hAnsi="Palatino Linotype"/>
          <w:lang w:val="en-US"/>
        </w:rPr>
        <w:t>.</w:t>
      </w:r>
    </w:p>
    <w:p w:rsidR="00FB5F40" w:rsidRPr="00026244" w:rsidRDefault="00FB5F40" w:rsidP="005A7C10">
      <w:pPr>
        <w:pStyle w:val="af2"/>
        <w:ind w:firstLine="284"/>
        <w:rPr>
          <w:rFonts w:ascii="Palatino Linotype" w:hAnsi="Palatino Linotype"/>
          <w:b/>
          <w:i/>
          <w:iCs/>
          <w:lang w:val="en-US"/>
        </w:rPr>
      </w:pPr>
      <w:r w:rsidRPr="00026244">
        <w:rPr>
          <w:rFonts w:ascii="Palatino Linotype" w:hAnsi="Palatino Linotype"/>
          <w:b/>
          <w:i/>
          <w:iCs/>
          <w:lang w:val="en-US"/>
        </w:rPr>
        <w:lastRenderedPageBreak/>
        <w:t>Qualified opinion</w:t>
      </w:r>
    </w:p>
    <w:p w:rsidR="00FB5F40" w:rsidRPr="00026244" w:rsidRDefault="00FB5F40" w:rsidP="005A7C10">
      <w:pPr>
        <w:pStyle w:val="af2"/>
        <w:ind w:firstLine="284"/>
        <w:jc w:val="both"/>
        <w:rPr>
          <w:rStyle w:val="hps"/>
          <w:rFonts w:ascii="Palatino Linotype" w:hAnsi="Palatino Linotype"/>
          <w:lang w:val="en-US"/>
        </w:rPr>
      </w:pPr>
      <w:r w:rsidRPr="00026244">
        <w:rPr>
          <w:rStyle w:val="hps"/>
          <w:rFonts w:ascii="Palatino Linotype" w:hAnsi="Palatino Linotype"/>
          <w:lang w:val="en-US"/>
        </w:rPr>
        <w:t>In our opinion, except for the possible effect of the matter described in the preceding paragraph, the financial statements give true and fair view of the financial position of the SSB RT "</w:t>
      </w:r>
      <w:proofErr w:type="spellStart"/>
      <w:r w:rsidRPr="00026244">
        <w:rPr>
          <w:rStyle w:val="hps"/>
          <w:rFonts w:ascii="Palatino Linotype" w:hAnsi="Palatino Linotype"/>
          <w:lang w:val="en-US"/>
        </w:rPr>
        <w:t>Amonatbonk</w:t>
      </w:r>
      <w:proofErr w:type="spellEnd"/>
      <w:r w:rsidRPr="00026244">
        <w:rPr>
          <w:rStyle w:val="hps"/>
          <w:rFonts w:ascii="Palatino Linotype" w:hAnsi="Palatino Linotype"/>
          <w:lang w:val="en-US"/>
        </w:rPr>
        <w:t>" as at December 31, 2011, and the results of its operations and its cash flows for the year then ended on that date, in accordance with International Financial Reporting Standards.</w:t>
      </w:r>
    </w:p>
    <w:p w:rsidR="00FB5F40" w:rsidRPr="00026244" w:rsidRDefault="00FB5F40" w:rsidP="005A7C10">
      <w:pPr>
        <w:pStyle w:val="af2"/>
        <w:spacing w:after="0"/>
        <w:ind w:firstLine="284"/>
        <w:jc w:val="both"/>
        <w:rPr>
          <w:rFonts w:ascii="Palatino Linotype" w:hAnsi="Palatino Linotype"/>
          <w:lang w:val="en-US"/>
        </w:rPr>
      </w:pPr>
    </w:p>
    <w:p w:rsidR="00FB5F40" w:rsidRPr="00026244" w:rsidRDefault="00FB5F40" w:rsidP="005A7C10">
      <w:pPr>
        <w:pStyle w:val="af2"/>
        <w:spacing w:after="0"/>
        <w:ind w:firstLine="284"/>
        <w:jc w:val="both"/>
        <w:rPr>
          <w:rFonts w:ascii="Palatino Linotype" w:hAnsi="Palatino Linotype"/>
          <w:lang w:val="en-US"/>
        </w:rPr>
      </w:pPr>
    </w:p>
    <w:p w:rsidR="00FB5F40" w:rsidRPr="00026244" w:rsidRDefault="006B0B2F" w:rsidP="00553803">
      <w:pPr>
        <w:pStyle w:val="af2"/>
        <w:spacing w:after="0"/>
        <w:ind w:firstLine="284"/>
        <w:jc w:val="both"/>
        <w:rPr>
          <w:rFonts w:ascii="Palatino Linotype" w:hAnsi="Palatino Linotype"/>
          <w:lang w:val="en-US"/>
        </w:rPr>
      </w:pPr>
      <w:r w:rsidRPr="00026244">
        <w:rPr>
          <w:noProof/>
          <w:lang w:eastAsia="ru-RU"/>
        </w:rPr>
        <w:drawing>
          <wp:anchor distT="0" distB="0" distL="114300" distR="114300" simplePos="0" relativeHeight="251665920" behindDoc="0" locked="0" layoutInCell="1" allowOverlap="1" wp14:anchorId="22B1C65B" wp14:editId="19134ECD">
            <wp:simplePos x="0" y="0"/>
            <wp:positionH relativeFrom="column">
              <wp:posOffset>1860550</wp:posOffset>
            </wp:positionH>
            <wp:positionV relativeFrom="paragraph">
              <wp:posOffset>118110</wp:posOffset>
            </wp:positionV>
            <wp:extent cx="2760345" cy="31940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0345" cy="319405"/>
                    </a:xfrm>
                    <a:prstGeom prst="rect">
                      <a:avLst/>
                    </a:prstGeom>
                    <a:noFill/>
                  </pic:spPr>
                </pic:pic>
              </a:graphicData>
            </a:graphic>
          </wp:anchor>
        </w:drawing>
      </w:r>
      <w:r w:rsidR="00FB5F40" w:rsidRPr="00026244">
        <w:rPr>
          <w:rFonts w:ascii="Palatino Linotype" w:hAnsi="Palatino Linotype"/>
          <w:lang w:val="en-US"/>
        </w:rPr>
        <w:t>31 March 2012</w:t>
      </w:r>
    </w:p>
    <w:p w:rsidR="00FB5F40" w:rsidRPr="00026244" w:rsidRDefault="00FB5F40" w:rsidP="00553803">
      <w:pPr>
        <w:pStyle w:val="af2"/>
        <w:spacing w:after="0"/>
        <w:ind w:firstLine="284"/>
        <w:jc w:val="both"/>
        <w:rPr>
          <w:rFonts w:ascii="Palatino Linotype" w:hAnsi="Palatino Linotype"/>
          <w:lang w:val="en-US"/>
        </w:rPr>
      </w:pPr>
      <w:r w:rsidRPr="00026244">
        <w:rPr>
          <w:rFonts w:ascii="Palatino Linotype" w:hAnsi="Palatino Linotype"/>
          <w:lang w:val="en-US"/>
        </w:rPr>
        <w:t>Grant Thornton LLC</w:t>
      </w:r>
    </w:p>
    <w:p w:rsidR="00FB5F40" w:rsidRPr="00553803" w:rsidRDefault="00FB5F40" w:rsidP="00553803">
      <w:pPr>
        <w:ind w:firstLine="284"/>
        <w:jc w:val="both"/>
        <w:rPr>
          <w:rFonts w:ascii="Palatino Linotype" w:hAnsi="Palatino Linotype"/>
          <w:lang w:val="en-US"/>
        </w:rPr>
      </w:pPr>
      <w:r w:rsidRPr="00026244">
        <w:rPr>
          <w:rFonts w:ascii="Palatino Linotype" w:hAnsi="Palatino Linotype"/>
          <w:lang w:val="en-US"/>
        </w:rPr>
        <w:t>Dushanbe</w:t>
      </w: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pPr>
    </w:p>
    <w:p w:rsidR="00FB5F40" w:rsidRPr="00553803" w:rsidRDefault="00FB5F40" w:rsidP="001F678E">
      <w:pPr>
        <w:spacing w:after="0"/>
        <w:ind w:firstLine="284"/>
        <w:jc w:val="both"/>
        <w:rPr>
          <w:rFonts w:ascii="Palatino Linotype" w:hAnsi="Palatino Linotype"/>
          <w:lang w:val="en-US"/>
        </w:rPr>
        <w:sectPr w:rsidR="00FB5F40" w:rsidRPr="00553803" w:rsidSect="00372012">
          <w:type w:val="continuous"/>
          <w:pgSz w:w="11906" w:h="16838"/>
          <w:pgMar w:top="1134" w:right="850" w:bottom="1134" w:left="1134" w:header="708" w:footer="708" w:gutter="0"/>
          <w:cols w:space="566"/>
          <w:rtlGutter/>
          <w:docGrid w:linePitch="360"/>
        </w:sectPr>
      </w:pPr>
    </w:p>
    <w:p w:rsidR="00FB5F40" w:rsidRPr="00553803" w:rsidRDefault="00FB5F40" w:rsidP="001F678E">
      <w:pPr>
        <w:spacing w:after="0"/>
        <w:ind w:firstLine="284"/>
        <w:jc w:val="both"/>
        <w:rPr>
          <w:rFonts w:ascii="Palatino Linotype" w:hAnsi="Palatino Linotype"/>
          <w:lang w:val="en-US"/>
        </w:rPr>
      </w:pPr>
    </w:p>
    <w:sectPr w:rsidR="00FB5F40" w:rsidRPr="00553803" w:rsidSect="00EF010A">
      <w:type w:val="continuous"/>
      <w:pgSz w:w="11906" w:h="16838"/>
      <w:pgMar w:top="1134" w:right="850" w:bottom="1134" w:left="1134" w:header="708" w:footer="708"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89A" w:rsidRDefault="0055289A" w:rsidP="00B817D2">
      <w:pPr>
        <w:spacing w:after="0" w:line="240" w:lineRule="auto"/>
      </w:pPr>
      <w:r>
        <w:separator/>
      </w:r>
    </w:p>
  </w:endnote>
  <w:endnote w:type="continuationSeparator" w:id="0">
    <w:p w:rsidR="0055289A" w:rsidRDefault="0055289A" w:rsidP="00B8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3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Tj">
    <w:panose1 w:val="02020603050405020304"/>
    <w:charset w:val="CC"/>
    <w:family w:val="roman"/>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 w:name="Eurofont-Bold">
    <w:panose1 w:val="00000000000000000000"/>
    <w:charset w:val="CC"/>
    <w:family w:val="auto"/>
    <w:notTrueType/>
    <w:pitch w:val="default"/>
    <w:sig w:usb0="00000201" w:usb1="00000000" w:usb2="00000000" w:usb3="00000000" w:csb0="00000004" w:csb1="00000000"/>
  </w:font>
  <w:font w:name="Eurofont-Normal">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89A" w:rsidRDefault="0055289A" w:rsidP="00B817D2">
      <w:pPr>
        <w:spacing w:after="0" w:line="240" w:lineRule="auto"/>
      </w:pPr>
      <w:r>
        <w:separator/>
      </w:r>
    </w:p>
  </w:footnote>
  <w:footnote w:type="continuationSeparator" w:id="0">
    <w:p w:rsidR="0055289A" w:rsidRDefault="0055289A" w:rsidP="00B81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
      </v:shape>
    </w:pict>
  </w:numPicBullet>
  <w:abstractNum w:abstractNumId="0">
    <w:nsid w:val="006F49C6"/>
    <w:multiLevelType w:val="hybridMultilevel"/>
    <w:tmpl w:val="E0722F62"/>
    <w:lvl w:ilvl="0" w:tplc="04190007">
      <w:start w:val="1"/>
      <w:numFmt w:val="bullet"/>
      <w:lvlText w:val=""/>
      <w:lvlPicBulletId w:val="0"/>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
    <w:nsid w:val="01BF1D86"/>
    <w:multiLevelType w:val="hybridMultilevel"/>
    <w:tmpl w:val="A840276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7E43DD3"/>
    <w:multiLevelType w:val="hybridMultilevel"/>
    <w:tmpl w:val="0FFA2722"/>
    <w:lvl w:ilvl="0" w:tplc="0419000F">
      <w:start w:val="2"/>
      <w:numFmt w:val="decimal"/>
      <w:lvlText w:val="%1."/>
      <w:lvlJc w:val="left"/>
      <w:pPr>
        <w:ind w:left="720" w:hanging="360"/>
      </w:pPr>
      <w:rPr>
        <w:rFonts w:cs="Times New Roman" w:hint="default"/>
      </w:rPr>
    </w:lvl>
    <w:lvl w:ilvl="1" w:tplc="04190009">
      <w:start w:val="1"/>
      <w:numFmt w:val="bullet"/>
      <w:lvlText w:val=""/>
      <w:lvlJc w:val="left"/>
      <w:pPr>
        <w:tabs>
          <w:tab w:val="num" w:pos="786"/>
        </w:tabs>
        <w:ind w:left="786" w:hanging="360"/>
      </w:pPr>
      <w:rPr>
        <w:rFonts w:ascii="Wingdings" w:hAnsi="Wingdings" w:hint="default"/>
        <w:color w:val="auto"/>
      </w:rPr>
    </w:lvl>
    <w:lvl w:ilvl="2" w:tplc="9482E5EA">
      <w:numFmt w:val="bullet"/>
      <w:lvlText w:val="-"/>
      <w:lvlJc w:val="left"/>
      <w:pPr>
        <w:ind w:left="2204" w:hanging="360"/>
      </w:pPr>
      <w:rPr>
        <w:rFonts w:ascii="Palatino Linotype" w:eastAsia="Times New Roman" w:hAnsi="Palatino Linotype"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AD5601"/>
    <w:multiLevelType w:val="hybridMultilevel"/>
    <w:tmpl w:val="2BE20CB8"/>
    <w:lvl w:ilvl="0" w:tplc="5CCA0FEE">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28A2FBD"/>
    <w:multiLevelType w:val="hybridMultilevel"/>
    <w:tmpl w:val="C21075D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DDC72A7"/>
    <w:multiLevelType w:val="hybridMultilevel"/>
    <w:tmpl w:val="923A2A3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8816EC"/>
    <w:multiLevelType w:val="hybridMultilevel"/>
    <w:tmpl w:val="DCE86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E548B6"/>
    <w:multiLevelType w:val="hybridMultilevel"/>
    <w:tmpl w:val="64A2379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7E76F0B"/>
    <w:multiLevelType w:val="hybridMultilevel"/>
    <w:tmpl w:val="32B47602"/>
    <w:lvl w:ilvl="0" w:tplc="04190009">
      <w:start w:val="1"/>
      <w:numFmt w:val="bullet"/>
      <w:lvlText w:val=""/>
      <w:lvlJc w:val="left"/>
      <w:pPr>
        <w:ind w:left="720" w:hanging="360"/>
      </w:pPr>
      <w:rPr>
        <w:rFonts w:ascii="Wingdings" w:hAnsi="Wingdings" w:hint="default"/>
      </w:rPr>
    </w:lvl>
    <w:lvl w:ilvl="1" w:tplc="8B0020FA">
      <w:start w:val="1"/>
      <w:numFmt w:val="bullet"/>
      <w:lvlText w:val=""/>
      <w:lvlJc w:val="left"/>
      <w:pPr>
        <w:ind w:left="1440" w:hanging="360"/>
      </w:pPr>
      <w:rPr>
        <w:rFonts w:ascii="Wingdings" w:hAnsi="Wingdings"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84710E"/>
    <w:multiLevelType w:val="hybridMultilevel"/>
    <w:tmpl w:val="2318D79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5"/>
  </w:num>
  <w:num w:numId="6">
    <w:abstractNumId w:val="8"/>
  </w:num>
  <w:num w:numId="7">
    <w:abstractNumId w:val="6"/>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8A"/>
    <w:rsid w:val="00006A40"/>
    <w:rsid w:val="000100E0"/>
    <w:rsid w:val="00013302"/>
    <w:rsid w:val="00020B69"/>
    <w:rsid w:val="00026244"/>
    <w:rsid w:val="000345E8"/>
    <w:rsid w:val="0005493B"/>
    <w:rsid w:val="00056B74"/>
    <w:rsid w:val="00061907"/>
    <w:rsid w:val="000857D9"/>
    <w:rsid w:val="000A29D5"/>
    <w:rsid w:val="000A549C"/>
    <w:rsid w:val="000A6411"/>
    <w:rsid w:val="000A6AF4"/>
    <w:rsid w:val="000D5CE5"/>
    <w:rsid w:val="000E1C83"/>
    <w:rsid w:val="00100135"/>
    <w:rsid w:val="0010038A"/>
    <w:rsid w:val="00100AAF"/>
    <w:rsid w:val="00112418"/>
    <w:rsid w:val="00112A7C"/>
    <w:rsid w:val="00156614"/>
    <w:rsid w:val="001834B7"/>
    <w:rsid w:val="00187DEC"/>
    <w:rsid w:val="001B0845"/>
    <w:rsid w:val="001F678E"/>
    <w:rsid w:val="00217155"/>
    <w:rsid w:val="00221B82"/>
    <w:rsid w:val="00223FC3"/>
    <w:rsid w:val="002513EE"/>
    <w:rsid w:val="002806E9"/>
    <w:rsid w:val="00286521"/>
    <w:rsid w:val="002A70D0"/>
    <w:rsid w:val="002B0DAE"/>
    <w:rsid w:val="002B3DD4"/>
    <w:rsid w:val="002B4C87"/>
    <w:rsid w:val="002D6AB7"/>
    <w:rsid w:val="00304B0D"/>
    <w:rsid w:val="00305BE0"/>
    <w:rsid w:val="003076FD"/>
    <w:rsid w:val="00313680"/>
    <w:rsid w:val="003306BA"/>
    <w:rsid w:val="0034250E"/>
    <w:rsid w:val="00346354"/>
    <w:rsid w:val="00366B1F"/>
    <w:rsid w:val="00372012"/>
    <w:rsid w:val="003863D7"/>
    <w:rsid w:val="00392725"/>
    <w:rsid w:val="003B12EC"/>
    <w:rsid w:val="003C13C9"/>
    <w:rsid w:val="003F0F96"/>
    <w:rsid w:val="003F5950"/>
    <w:rsid w:val="003F7212"/>
    <w:rsid w:val="00420A36"/>
    <w:rsid w:val="00432098"/>
    <w:rsid w:val="0043254D"/>
    <w:rsid w:val="004656BF"/>
    <w:rsid w:val="004C5503"/>
    <w:rsid w:val="004C6488"/>
    <w:rsid w:val="004E1FB3"/>
    <w:rsid w:val="004E45A2"/>
    <w:rsid w:val="004E4B82"/>
    <w:rsid w:val="004F013A"/>
    <w:rsid w:val="004F317D"/>
    <w:rsid w:val="00512C56"/>
    <w:rsid w:val="00513EA6"/>
    <w:rsid w:val="00517F3A"/>
    <w:rsid w:val="00524F8D"/>
    <w:rsid w:val="00533655"/>
    <w:rsid w:val="005441AE"/>
    <w:rsid w:val="00545D59"/>
    <w:rsid w:val="0055289A"/>
    <w:rsid w:val="00553803"/>
    <w:rsid w:val="005734F4"/>
    <w:rsid w:val="005737B8"/>
    <w:rsid w:val="005922A7"/>
    <w:rsid w:val="00596C1F"/>
    <w:rsid w:val="005A7C10"/>
    <w:rsid w:val="005C660A"/>
    <w:rsid w:val="005D680C"/>
    <w:rsid w:val="005E38B4"/>
    <w:rsid w:val="00603CC2"/>
    <w:rsid w:val="006440C8"/>
    <w:rsid w:val="00647A71"/>
    <w:rsid w:val="00651392"/>
    <w:rsid w:val="00662E5A"/>
    <w:rsid w:val="00664E58"/>
    <w:rsid w:val="006803BD"/>
    <w:rsid w:val="006A19C8"/>
    <w:rsid w:val="006B0B2F"/>
    <w:rsid w:val="006B62E9"/>
    <w:rsid w:val="006C253A"/>
    <w:rsid w:val="006C5993"/>
    <w:rsid w:val="006D06A6"/>
    <w:rsid w:val="006D0D4C"/>
    <w:rsid w:val="006E45AA"/>
    <w:rsid w:val="006F326C"/>
    <w:rsid w:val="007012B8"/>
    <w:rsid w:val="00717FD7"/>
    <w:rsid w:val="00727A16"/>
    <w:rsid w:val="00766A11"/>
    <w:rsid w:val="0077506B"/>
    <w:rsid w:val="007A0006"/>
    <w:rsid w:val="007A1621"/>
    <w:rsid w:val="007B2184"/>
    <w:rsid w:val="007B3349"/>
    <w:rsid w:val="007B6615"/>
    <w:rsid w:val="007B6982"/>
    <w:rsid w:val="007C1ACE"/>
    <w:rsid w:val="007E4341"/>
    <w:rsid w:val="00814363"/>
    <w:rsid w:val="00815FE5"/>
    <w:rsid w:val="00825788"/>
    <w:rsid w:val="00830CAD"/>
    <w:rsid w:val="00870B9D"/>
    <w:rsid w:val="00871A80"/>
    <w:rsid w:val="0089155D"/>
    <w:rsid w:val="008A7121"/>
    <w:rsid w:val="008B33D9"/>
    <w:rsid w:val="008C0E84"/>
    <w:rsid w:val="008C1120"/>
    <w:rsid w:val="008E3AC9"/>
    <w:rsid w:val="008E7567"/>
    <w:rsid w:val="008F2C6B"/>
    <w:rsid w:val="00905638"/>
    <w:rsid w:val="00905F9B"/>
    <w:rsid w:val="0092260D"/>
    <w:rsid w:val="0095600F"/>
    <w:rsid w:val="00957AFF"/>
    <w:rsid w:val="009716B8"/>
    <w:rsid w:val="00995B24"/>
    <w:rsid w:val="009A289C"/>
    <w:rsid w:val="009B445A"/>
    <w:rsid w:val="009C484E"/>
    <w:rsid w:val="009C4C87"/>
    <w:rsid w:val="009E7570"/>
    <w:rsid w:val="009F1C1B"/>
    <w:rsid w:val="009F5EB8"/>
    <w:rsid w:val="009F644F"/>
    <w:rsid w:val="00A03A29"/>
    <w:rsid w:val="00A15E27"/>
    <w:rsid w:val="00A16A2C"/>
    <w:rsid w:val="00A23DC1"/>
    <w:rsid w:val="00A25CA1"/>
    <w:rsid w:val="00A307B6"/>
    <w:rsid w:val="00A679EC"/>
    <w:rsid w:val="00AB1A66"/>
    <w:rsid w:val="00AB4D61"/>
    <w:rsid w:val="00AC3A7A"/>
    <w:rsid w:val="00AE00D1"/>
    <w:rsid w:val="00AE179A"/>
    <w:rsid w:val="00B077F7"/>
    <w:rsid w:val="00B10CF2"/>
    <w:rsid w:val="00B14589"/>
    <w:rsid w:val="00B25FD5"/>
    <w:rsid w:val="00B319A0"/>
    <w:rsid w:val="00B354A0"/>
    <w:rsid w:val="00B42721"/>
    <w:rsid w:val="00B50351"/>
    <w:rsid w:val="00B529A5"/>
    <w:rsid w:val="00B554D5"/>
    <w:rsid w:val="00B61B6D"/>
    <w:rsid w:val="00B62FB5"/>
    <w:rsid w:val="00B817D2"/>
    <w:rsid w:val="00B85E13"/>
    <w:rsid w:val="00B9305A"/>
    <w:rsid w:val="00BA6FED"/>
    <w:rsid w:val="00BA7CC6"/>
    <w:rsid w:val="00BF1384"/>
    <w:rsid w:val="00BF1927"/>
    <w:rsid w:val="00C147BC"/>
    <w:rsid w:val="00C2115A"/>
    <w:rsid w:val="00C33EC6"/>
    <w:rsid w:val="00C47109"/>
    <w:rsid w:val="00C709C0"/>
    <w:rsid w:val="00C74C4B"/>
    <w:rsid w:val="00C91C01"/>
    <w:rsid w:val="00C95B47"/>
    <w:rsid w:val="00C97978"/>
    <w:rsid w:val="00CA55DB"/>
    <w:rsid w:val="00CA692B"/>
    <w:rsid w:val="00CC2B08"/>
    <w:rsid w:val="00CD10C0"/>
    <w:rsid w:val="00CE13D9"/>
    <w:rsid w:val="00CF1CAA"/>
    <w:rsid w:val="00CF1EDA"/>
    <w:rsid w:val="00D433F3"/>
    <w:rsid w:val="00D451FC"/>
    <w:rsid w:val="00D5523C"/>
    <w:rsid w:val="00D5584E"/>
    <w:rsid w:val="00D61912"/>
    <w:rsid w:val="00D61A97"/>
    <w:rsid w:val="00D62718"/>
    <w:rsid w:val="00D91377"/>
    <w:rsid w:val="00D930DC"/>
    <w:rsid w:val="00D93A3D"/>
    <w:rsid w:val="00DA1355"/>
    <w:rsid w:val="00DA67ED"/>
    <w:rsid w:val="00DB370D"/>
    <w:rsid w:val="00E11B61"/>
    <w:rsid w:val="00E149CC"/>
    <w:rsid w:val="00E454D4"/>
    <w:rsid w:val="00E554BF"/>
    <w:rsid w:val="00E90995"/>
    <w:rsid w:val="00E9728B"/>
    <w:rsid w:val="00E975FC"/>
    <w:rsid w:val="00EA0BC4"/>
    <w:rsid w:val="00EA7FC4"/>
    <w:rsid w:val="00EB1768"/>
    <w:rsid w:val="00EB1A8B"/>
    <w:rsid w:val="00EC59BE"/>
    <w:rsid w:val="00ED19CF"/>
    <w:rsid w:val="00EE34E6"/>
    <w:rsid w:val="00EE5262"/>
    <w:rsid w:val="00EF010A"/>
    <w:rsid w:val="00EF5A14"/>
    <w:rsid w:val="00F0756E"/>
    <w:rsid w:val="00F14B12"/>
    <w:rsid w:val="00F6320B"/>
    <w:rsid w:val="00F635A8"/>
    <w:rsid w:val="00F671F3"/>
    <w:rsid w:val="00F84079"/>
    <w:rsid w:val="00F92281"/>
    <w:rsid w:val="00FA70E9"/>
    <w:rsid w:val="00FB5F40"/>
    <w:rsid w:val="00FD2C14"/>
    <w:rsid w:val="00FE4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38A"/>
    <w:pPr>
      <w:spacing w:after="200" w:line="276" w:lineRule="auto"/>
    </w:pPr>
    <w:rPr>
      <w:sz w:val="22"/>
      <w:szCs w:val="22"/>
      <w:lang w:eastAsia="en-US"/>
    </w:rPr>
  </w:style>
  <w:style w:type="paragraph" w:styleId="2">
    <w:name w:val="heading 2"/>
    <w:basedOn w:val="a"/>
    <w:next w:val="a"/>
    <w:link w:val="20"/>
    <w:uiPriority w:val="99"/>
    <w:qFormat/>
    <w:rsid w:val="0010038A"/>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10038A"/>
    <w:rPr>
      <w:rFonts w:ascii="Cambria" w:hAnsi="Cambria" w:cs="Times New Roman"/>
      <w:b/>
      <w:bCs/>
      <w:color w:val="4F81BD"/>
      <w:sz w:val="26"/>
      <w:szCs w:val="26"/>
    </w:rPr>
  </w:style>
  <w:style w:type="paragraph" w:styleId="a3">
    <w:name w:val="List Paragraph"/>
    <w:basedOn w:val="a"/>
    <w:uiPriority w:val="99"/>
    <w:qFormat/>
    <w:rsid w:val="0010038A"/>
    <w:pPr>
      <w:ind w:left="720"/>
      <w:contextualSpacing/>
    </w:pPr>
  </w:style>
  <w:style w:type="table" w:styleId="a4">
    <w:name w:val="Table Grid"/>
    <w:basedOn w:val="a1"/>
    <w:uiPriority w:val="1"/>
    <w:rsid w:val="001003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uiPriority w:val="99"/>
    <w:qFormat/>
    <w:rsid w:val="0010038A"/>
    <w:rPr>
      <w:sz w:val="22"/>
      <w:szCs w:val="22"/>
      <w:lang w:eastAsia="en-US"/>
    </w:rPr>
  </w:style>
  <w:style w:type="paragraph" w:styleId="a6">
    <w:name w:val="Balloon Text"/>
    <w:basedOn w:val="a"/>
    <w:link w:val="a7"/>
    <w:uiPriority w:val="99"/>
    <w:semiHidden/>
    <w:rsid w:val="0010038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10038A"/>
    <w:rPr>
      <w:rFonts w:ascii="Tahoma" w:hAnsi="Tahoma" w:cs="Tahoma"/>
      <w:sz w:val="16"/>
      <w:szCs w:val="16"/>
    </w:rPr>
  </w:style>
  <w:style w:type="character" w:styleId="a8">
    <w:name w:val="Intense Reference"/>
    <w:uiPriority w:val="99"/>
    <w:qFormat/>
    <w:rsid w:val="00603CC2"/>
    <w:rPr>
      <w:rFonts w:cs="Times New Roman"/>
      <w:b/>
      <w:bCs/>
      <w:smallCaps/>
      <w:color w:val="C0504D"/>
      <w:spacing w:val="5"/>
      <w:u w:val="single"/>
    </w:rPr>
  </w:style>
  <w:style w:type="paragraph" w:styleId="a9">
    <w:name w:val="Title"/>
    <w:basedOn w:val="a"/>
    <w:next w:val="a"/>
    <w:link w:val="aa"/>
    <w:uiPriority w:val="99"/>
    <w:qFormat/>
    <w:rsid w:val="006D06A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a">
    <w:name w:val="Название Знак"/>
    <w:link w:val="a9"/>
    <w:uiPriority w:val="99"/>
    <w:locked/>
    <w:rsid w:val="006D06A6"/>
    <w:rPr>
      <w:rFonts w:ascii="Cambria" w:hAnsi="Cambria" w:cs="Times New Roman"/>
      <w:color w:val="17365D"/>
      <w:spacing w:val="5"/>
      <w:kern w:val="28"/>
      <w:sz w:val="52"/>
      <w:szCs w:val="52"/>
    </w:rPr>
  </w:style>
  <w:style w:type="paragraph" w:styleId="ab">
    <w:name w:val="header"/>
    <w:basedOn w:val="a"/>
    <w:link w:val="ac"/>
    <w:uiPriority w:val="99"/>
    <w:rsid w:val="00B817D2"/>
    <w:pPr>
      <w:tabs>
        <w:tab w:val="center" w:pos="4677"/>
        <w:tab w:val="right" w:pos="9355"/>
      </w:tabs>
      <w:spacing w:after="0" w:line="240" w:lineRule="auto"/>
    </w:pPr>
  </w:style>
  <w:style w:type="character" w:customStyle="1" w:styleId="ac">
    <w:name w:val="Верхний колонтитул Знак"/>
    <w:link w:val="ab"/>
    <w:uiPriority w:val="99"/>
    <w:locked/>
    <w:rsid w:val="00B817D2"/>
    <w:rPr>
      <w:rFonts w:ascii="Calibri" w:hAnsi="Calibri" w:cs="Times New Roman"/>
    </w:rPr>
  </w:style>
  <w:style w:type="paragraph" w:styleId="ad">
    <w:name w:val="footer"/>
    <w:basedOn w:val="a"/>
    <w:link w:val="ae"/>
    <w:uiPriority w:val="99"/>
    <w:rsid w:val="00B817D2"/>
    <w:pPr>
      <w:tabs>
        <w:tab w:val="center" w:pos="4677"/>
        <w:tab w:val="right" w:pos="9355"/>
      </w:tabs>
      <w:spacing w:after="0" w:line="240" w:lineRule="auto"/>
    </w:pPr>
  </w:style>
  <w:style w:type="character" w:customStyle="1" w:styleId="ae">
    <w:name w:val="Нижний колонтитул Знак"/>
    <w:link w:val="ad"/>
    <w:uiPriority w:val="99"/>
    <w:locked/>
    <w:rsid w:val="00B817D2"/>
    <w:rPr>
      <w:rFonts w:ascii="Calibri" w:hAnsi="Calibri" w:cs="Times New Roman"/>
    </w:rPr>
  </w:style>
  <w:style w:type="paragraph" w:styleId="af">
    <w:name w:val="Body Text Indent"/>
    <w:basedOn w:val="a"/>
    <w:link w:val="af0"/>
    <w:uiPriority w:val="99"/>
    <w:rsid w:val="00B817D2"/>
    <w:pPr>
      <w:spacing w:after="0" w:line="240" w:lineRule="auto"/>
      <w:ind w:firstLine="900"/>
      <w:jc w:val="both"/>
    </w:pPr>
    <w:rPr>
      <w:rFonts w:ascii="Times New Roman Tj" w:eastAsia="Times New Roman" w:hAnsi="Times New Roman Tj"/>
      <w:sz w:val="28"/>
      <w:szCs w:val="24"/>
      <w:lang w:eastAsia="ru-RU"/>
    </w:rPr>
  </w:style>
  <w:style w:type="character" w:customStyle="1" w:styleId="af0">
    <w:name w:val="Основной текст с отступом Знак"/>
    <w:link w:val="af"/>
    <w:uiPriority w:val="99"/>
    <w:locked/>
    <w:rsid w:val="00B817D2"/>
    <w:rPr>
      <w:rFonts w:ascii="Times New Roman Tj" w:hAnsi="Times New Roman Tj" w:cs="Times New Roman"/>
      <w:sz w:val="24"/>
      <w:szCs w:val="24"/>
      <w:lang w:eastAsia="ru-RU"/>
    </w:rPr>
  </w:style>
  <w:style w:type="paragraph" w:styleId="af1">
    <w:name w:val="Normal (Web)"/>
    <w:basedOn w:val="a"/>
    <w:uiPriority w:val="99"/>
    <w:rsid w:val="001F678E"/>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iPriority w:val="99"/>
    <w:rsid w:val="001F678E"/>
    <w:pPr>
      <w:spacing w:after="120"/>
    </w:pPr>
    <w:rPr>
      <w:sz w:val="16"/>
      <w:szCs w:val="16"/>
    </w:rPr>
  </w:style>
  <w:style w:type="character" w:customStyle="1" w:styleId="30">
    <w:name w:val="Основной текст 3 Знак"/>
    <w:link w:val="3"/>
    <w:uiPriority w:val="99"/>
    <w:locked/>
    <w:rsid w:val="001F678E"/>
    <w:rPr>
      <w:rFonts w:ascii="Calibri" w:hAnsi="Calibri" w:cs="Times New Roman"/>
      <w:sz w:val="16"/>
      <w:szCs w:val="16"/>
    </w:rPr>
  </w:style>
  <w:style w:type="paragraph" w:customStyle="1" w:styleId="TradingName">
    <w:name w:val="Trading Name"/>
    <w:uiPriority w:val="99"/>
    <w:semiHidden/>
    <w:rsid w:val="001F678E"/>
    <w:pPr>
      <w:spacing w:line="180" w:lineRule="atLeast"/>
    </w:pPr>
    <w:rPr>
      <w:rFonts w:ascii="Arial Narrow" w:eastAsia="Times New Roman" w:hAnsi="Arial Narrow" w:cs="Arial"/>
      <w:b/>
      <w:sz w:val="14"/>
      <w:lang w:val="en-GB" w:eastAsia="en-US"/>
    </w:rPr>
  </w:style>
  <w:style w:type="paragraph" w:customStyle="1" w:styleId="PartnerAddress">
    <w:name w:val="Partner Address"/>
    <w:uiPriority w:val="99"/>
    <w:semiHidden/>
    <w:rsid w:val="001F678E"/>
    <w:rPr>
      <w:rFonts w:ascii="Arial Narrow" w:eastAsia="Times New Roman" w:hAnsi="Arial Narrow" w:cs="Arial"/>
      <w:sz w:val="14"/>
      <w:lang w:val="en-GB" w:eastAsia="en-US"/>
    </w:rPr>
  </w:style>
  <w:style w:type="paragraph" w:customStyle="1" w:styleId="HalfLineBreak">
    <w:name w:val="Half Line Break"/>
    <w:uiPriority w:val="99"/>
    <w:semiHidden/>
    <w:rsid w:val="001F678E"/>
    <w:pPr>
      <w:framePr w:wrap="around" w:vAnchor="page" w:hAnchor="page" w:x="9016" w:y="3970"/>
      <w:suppressOverlap/>
    </w:pPr>
    <w:rPr>
      <w:rFonts w:ascii="Arial Narrow" w:eastAsia="Times New Roman" w:hAnsi="Arial Narrow" w:cs="Arial"/>
      <w:b/>
      <w:sz w:val="7"/>
      <w:lang w:val="en-GB" w:eastAsia="en-US"/>
    </w:rPr>
  </w:style>
  <w:style w:type="paragraph" w:customStyle="1" w:styleId="TableHeading">
    <w:name w:val="Table Heading"/>
    <w:uiPriority w:val="99"/>
    <w:rsid w:val="00B42721"/>
    <w:rPr>
      <w:rFonts w:ascii="Arial" w:eastAsia="Times New Roman" w:hAnsi="Arial" w:cs="Arial"/>
      <w:b/>
      <w:bCs/>
      <w:kern w:val="28"/>
      <w:sz w:val="16"/>
      <w:szCs w:val="32"/>
      <w:lang w:val="en-GB" w:eastAsia="en-US"/>
    </w:rPr>
  </w:style>
  <w:style w:type="paragraph" w:customStyle="1" w:styleId="TableText">
    <w:name w:val="Table Text"/>
    <w:link w:val="TableTextChar"/>
    <w:uiPriority w:val="99"/>
    <w:rsid w:val="00B42721"/>
    <w:rPr>
      <w:rFonts w:ascii="Arial" w:hAnsi="Arial"/>
      <w:sz w:val="22"/>
      <w:szCs w:val="22"/>
      <w:lang w:val="en-GB"/>
    </w:rPr>
  </w:style>
  <w:style w:type="paragraph" w:customStyle="1" w:styleId="TableSubTot">
    <w:name w:val="Table SubTot"/>
    <w:basedOn w:val="TableText"/>
    <w:uiPriority w:val="99"/>
    <w:rsid w:val="00B42721"/>
    <w:pPr>
      <w:pBdr>
        <w:top w:val="single" w:sz="6" w:space="1" w:color="auto"/>
      </w:pBdr>
      <w:ind w:right="142"/>
    </w:pPr>
  </w:style>
  <w:style w:type="paragraph" w:customStyle="1" w:styleId="TableTotal">
    <w:name w:val="Table Total"/>
    <w:basedOn w:val="TableText"/>
    <w:uiPriority w:val="99"/>
    <w:rsid w:val="00B42721"/>
    <w:pPr>
      <w:pBdr>
        <w:top w:val="single" w:sz="6" w:space="1" w:color="auto"/>
        <w:bottom w:val="double" w:sz="6" w:space="1" w:color="auto"/>
      </w:pBdr>
      <w:ind w:right="142"/>
    </w:pPr>
  </w:style>
  <w:style w:type="paragraph" w:customStyle="1" w:styleId="tabelt">
    <w:name w:val="tabel_.t_"/>
    <w:basedOn w:val="a"/>
    <w:uiPriority w:val="99"/>
    <w:rsid w:val="00B42721"/>
    <w:pPr>
      <w:overflowPunct w:val="0"/>
      <w:autoSpaceDE w:val="0"/>
      <w:autoSpaceDN w:val="0"/>
      <w:adjustRightInd w:val="0"/>
      <w:spacing w:after="120" w:line="-40" w:lineRule="auto"/>
      <w:ind w:right="91"/>
      <w:jc w:val="right"/>
      <w:textAlignment w:val="baseline"/>
    </w:pPr>
    <w:rPr>
      <w:rFonts w:ascii="Times New Roman" w:eastAsia="Times New Roman" w:hAnsi="Times New Roman"/>
      <w:position w:val="4"/>
      <w:szCs w:val="20"/>
      <w:lang w:val="en-GB"/>
    </w:rPr>
  </w:style>
  <w:style w:type="character" w:customStyle="1" w:styleId="TableTextChar">
    <w:name w:val="Table Text Char"/>
    <w:link w:val="TableText"/>
    <w:uiPriority w:val="99"/>
    <w:locked/>
    <w:rsid w:val="00B42721"/>
    <w:rPr>
      <w:rFonts w:ascii="Arial" w:hAnsi="Arial"/>
      <w:sz w:val="22"/>
      <w:lang w:val="en-GB"/>
    </w:rPr>
  </w:style>
  <w:style w:type="paragraph" w:customStyle="1" w:styleId="SectionTitle">
    <w:name w:val="Section Title"/>
    <w:next w:val="af2"/>
    <w:uiPriority w:val="99"/>
    <w:rsid w:val="00B42721"/>
    <w:pPr>
      <w:spacing w:after="2520"/>
    </w:pPr>
    <w:rPr>
      <w:rFonts w:ascii="Garamond" w:eastAsia="Times New Roman" w:hAnsi="Garamond" w:cs="Arial"/>
      <w:color w:val="0000AD"/>
      <w:sz w:val="48"/>
      <w:lang w:val="en-GB" w:eastAsia="en-US"/>
    </w:rPr>
  </w:style>
  <w:style w:type="paragraph" w:styleId="af2">
    <w:name w:val="Body Text"/>
    <w:basedOn w:val="a"/>
    <w:link w:val="af3"/>
    <w:uiPriority w:val="99"/>
    <w:semiHidden/>
    <w:rsid w:val="00B42721"/>
    <w:pPr>
      <w:spacing w:after="120"/>
    </w:pPr>
  </w:style>
  <w:style w:type="character" w:customStyle="1" w:styleId="af3">
    <w:name w:val="Основной текст Знак"/>
    <w:link w:val="af2"/>
    <w:uiPriority w:val="99"/>
    <w:semiHidden/>
    <w:locked/>
    <w:rsid w:val="00B42721"/>
    <w:rPr>
      <w:rFonts w:ascii="Calibri" w:hAnsi="Calibri" w:cs="Times New Roman"/>
    </w:rPr>
  </w:style>
  <w:style w:type="paragraph" w:customStyle="1" w:styleId="1">
    <w:name w:val="Обычный1"/>
    <w:uiPriority w:val="99"/>
    <w:rsid w:val="006803BD"/>
    <w:pPr>
      <w:widowControl w:val="0"/>
    </w:pPr>
    <w:rPr>
      <w:rFonts w:ascii="Times New Roman" w:eastAsia="Times New Roman" w:hAnsi="Times New Roman"/>
    </w:rPr>
  </w:style>
  <w:style w:type="character" w:customStyle="1" w:styleId="hps">
    <w:name w:val="hps"/>
    <w:uiPriority w:val="99"/>
    <w:rsid w:val="007B2184"/>
    <w:rPr>
      <w:rFonts w:cs="Times New Roman"/>
    </w:rPr>
  </w:style>
  <w:style w:type="character" w:customStyle="1" w:styleId="shorttext">
    <w:name w:val="short_text"/>
    <w:uiPriority w:val="99"/>
    <w:rsid w:val="00372012"/>
    <w:rPr>
      <w:rFonts w:cs="Times New Roman"/>
    </w:rPr>
  </w:style>
  <w:style w:type="paragraph" w:customStyle="1" w:styleId="CoverTitle">
    <w:name w:val="Cover Title"/>
    <w:uiPriority w:val="99"/>
    <w:rsid w:val="004C5503"/>
    <w:pPr>
      <w:spacing w:before="400" w:after="400" w:line="580" w:lineRule="atLeast"/>
    </w:pPr>
    <w:rPr>
      <w:rFonts w:ascii="Garamond" w:eastAsia="Times New Roman" w:hAnsi="Garamond" w:cs="Arial"/>
      <w:bCs/>
      <w:kern w:val="28"/>
      <w:sz w:val="40"/>
      <w:szCs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38A"/>
    <w:pPr>
      <w:spacing w:after="200" w:line="276" w:lineRule="auto"/>
    </w:pPr>
    <w:rPr>
      <w:sz w:val="22"/>
      <w:szCs w:val="22"/>
      <w:lang w:eastAsia="en-US"/>
    </w:rPr>
  </w:style>
  <w:style w:type="paragraph" w:styleId="2">
    <w:name w:val="heading 2"/>
    <w:basedOn w:val="a"/>
    <w:next w:val="a"/>
    <w:link w:val="20"/>
    <w:uiPriority w:val="99"/>
    <w:qFormat/>
    <w:rsid w:val="0010038A"/>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10038A"/>
    <w:rPr>
      <w:rFonts w:ascii="Cambria" w:hAnsi="Cambria" w:cs="Times New Roman"/>
      <w:b/>
      <w:bCs/>
      <w:color w:val="4F81BD"/>
      <w:sz w:val="26"/>
      <w:szCs w:val="26"/>
    </w:rPr>
  </w:style>
  <w:style w:type="paragraph" w:styleId="a3">
    <w:name w:val="List Paragraph"/>
    <w:basedOn w:val="a"/>
    <w:uiPriority w:val="99"/>
    <w:qFormat/>
    <w:rsid w:val="0010038A"/>
    <w:pPr>
      <w:ind w:left="720"/>
      <w:contextualSpacing/>
    </w:pPr>
  </w:style>
  <w:style w:type="table" w:styleId="a4">
    <w:name w:val="Table Grid"/>
    <w:basedOn w:val="a1"/>
    <w:uiPriority w:val="1"/>
    <w:rsid w:val="001003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uiPriority w:val="99"/>
    <w:qFormat/>
    <w:rsid w:val="0010038A"/>
    <w:rPr>
      <w:sz w:val="22"/>
      <w:szCs w:val="22"/>
      <w:lang w:eastAsia="en-US"/>
    </w:rPr>
  </w:style>
  <w:style w:type="paragraph" w:styleId="a6">
    <w:name w:val="Balloon Text"/>
    <w:basedOn w:val="a"/>
    <w:link w:val="a7"/>
    <w:uiPriority w:val="99"/>
    <w:semiHidden/>
    <w:rsid w:val="0010038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10038A"/>
    <w:rPr>
      <w:rFonts w:ascii="Tahoma" w:hAnsi="Tahoma" w:cs="Tahoma"/>
      <w:sz w:val="16"/>
      <w:szCs w:val="16"/>
    </w:rPr>
  </w:style>
  <w:style w:type="character" w:styleId="a8">
    <w:name w:val="Intense Reference"/>
    <w:uiPriority w:val="99"/>
    <w:qFormat/>
    <w:rsid w:val="00603CC2"/>
    <w:rPr>
      <w:rFonts w:cs="Times New Roman"/>
      <w:b/>
      <w:bCs/>
      <w:smallCaps/>
      <w:color w:val="C0504D"/>
      <w:spacing w:val="5"/>
      <w:u w:val="single"/>
    </w:rPr>
  </w:style>
  <w:style w:type="paragraph" w:styleId="a9">
    <w:name w:val="Title"/>
    <w:basedOn w:val="a"/>
    <w:next w:val="a"/>
    <w:link w:val="aa"/>
    <w:uiPriority w:val="99"/>
    <w:qFormat/>
    <w:rsid w:val="006D06A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a">
    <w:name w:val="Название Знак"/>
    <w:link w:val="a9"/>
    <w:uiPriority w:val="99"/>
    <w:locked/>
    <w:rsid w:val="006D06A6"/>
    <w:rPr>
      <w:rFonts w:ascii="Cambria" w:hAnsi="Cambria" w:cs="Times New Roman"/>
      <w:color w:val="17365D"/>
      <w:spacing w:val="5"/>
      <w:kern w:val="28"/>
      <w:sz w:val="52"/>
      <w:szCs w:val="52"/>
    </w:rPr>
  </w:style>
  <w:style w:type="paragraph" w:styleId="ab">
    <w:name w:val="header"/>
    <w:basedOn w:val="a"/>
    <w:link w:val="ac"/>
    <w:uiPriority w:val="99"/>
    <w:rsid w:val="00B817D2"/>
    <w:pPr>
      <w:tabs>
        <w:tab w:val="center" w:pos="4677"/>
        <w:tab w:val="right" w:pos="9355"/>
      </w:tabs>
      <w:spacing w:after="0" w:line="240" w:lineRule="auto"/>
    </w:pPr>
  </w:style>
  <w:style w:type="character" w:customStyle="1" w:styleId="ac">
    <w:name w:val="Верхний колонтитул Знак"/>
    <w:link w:val="ab"/>
    <w:uiPriority w:val="99"/>
    <w:locked/>
    <w:rsid w:val="00B817D2"/>
    <w:rPr>
      <w:rFonts w:ascii="Calibri" w:hAnsi="Calibri" w:cs="Times New Roman"/>
    </w:rPr>
  </w:style>
  <w:style w:type="paragraph" w:styleId="ad">
    <w:name w:val="footer"/>
    <w:basedOn w:val="a"/>
    <w:link w:val="ae"/>
    <w:uiPriority w:val="99"/>
    <w:rsid w:val="00B817D2"/>
    <w:pPr>
      <w:tabs>
        <w:tab w:val="center" w:pos="4677"/>
        <w:tab w:val="right" w:pos="9355"/>
      </w:tabs>
      <w:spacing w:after="0" w:line="240" w:lineRule="auto"/>
    </w:pPr>
  </w:style>
  <w:style w:type="character" w:customStyle="1" w:styleId="ae">
    <w:name w:val="Нижний колонтитул Знак"/>
    <w:link w:val="ad"/>
    <w:uiPriority w:val="99"/>
    <w:locked/>
    <w:rsid w:val="00B817D2"/>
    <w:rPr>
      <w:rFonts w:ascii="Calibri" w:hAnsi="Calibri" w:cs="Times New Roman"/>
    </w:rPr>
  </w:style>
  <w:style w:type="paragraph" w:styleId="af">
    <w:name w:val="Body Text Indent"/>
    <w:basedOn w:val="a"/>
    <w:link w:val="af0"/>
    <w:uiPriority w:val="99"/>
    <w:rsid w:val="00B817D2"/>
    <w:pPr>
      <w:spacing w:after="0" w:line="240" w:lineRule="auto"/>
      <w:ind w:firstLine="900"/>
      <w:jc w:val="both"/>
    </w:pPr>
    <w:rPr>
      <w:rFonts w:ascii="Times New Roman Tj" w:eastAsia="Times New Roman" w:hAnsi="Times New Roman Tj"/>
      <w:sz w:val="28"/>
      <w:szCs w:val="24"/>
      <w:lang w:eastAsia="ru-RU"/>
    </w:rPr>
  </w:style>
  <w:style w:type="character" w:customStyle="1" w:styleId="af0">
    <w:name w:val="Основной текст с отступом Знак"/>
    <w:link w:val="af"/>
    <w:uiPriority w:val="99"/>
    <w:locked/>
    <w:rsid w:val="00B817D2"/>
    <w:rPr>
      <w:rFonts w:ascii="Times New Roman Tj" w:hAnsi="Times New Roman Tj" w:cs="Times New Roman"/>
      <w:sz w:val="24"/>
      <w:szCs w:val="24"/>
      <w:lang w:eastAsia="ru-RU"/>
    </w:rPr>
  </w:style>
  <w:style w:type="paragraph" w:styleId="af1">
    <w:name w:val="Normal (Web)"/>
    <w:basedOn w:val="a"/>
    <w:uiPriority w:val="99"/>
    <w:rsid w:val="001F678E"/>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iPriority w:val="99"/>
    <w:rsid w:val="001F678E"/>
    <w:pPr>
      <w:spacing w:after="120"/>
    </w:pPr>
    <w:rPr>
      <w:sz w:val="16"/>
      <w:szCs w:val="16"/>
    </w:rPr>
  </w:style>
  <w:style w:type="character" w:customStyle="1" w:styleId="30">
    <w:name w:val="Основной текст 3 Знак"/>
    <w:link w:val="3"/>
    <w:uiPriority w:val="99"/>
    <w:locked/>
    <w:rsid w:val="001F678E"/>
    <w:rPr>
      <w:rFonts w:ascii="Calibri" w:hAnsi="Calibri" w:cs="Times New Roman"/>
      <w:sz w:val="16"/>
      <w:szCs w:val="16"/>
    </w:rPr>
  </w:style>
  <w:style w:type="paragraph" w:customStyle="1" w:styleId="TradingName">
    <w:name w:val="Trading Name"/>
    <w:uiPriority w:val="99"/>
    <w:semiHidden/>
    <w:rsid w:val="001F678E"/>
    <w:pPr>
      <w:spacing w:line="180" w:lineRule="atLeast"/>
    </w:pPr>
    <w:rPr>
      <w:rFonts w:ascii="Arial Narrow" w:eastAsia="Times New Roman" w:hAnsi="Arial Narrow" w:cs="Arial"/>
      <w:b/>
      <w:sz w:val="14"/>
      <w:lang w:val="en-GB" w:eastAsia="en-US"/>
    </w:rPr>
  </w:style>
  <w:style w:type="paragraph" w:customStyle="1" w:styleId="PartnerAddress">
    <w:name w:val="Partner Address"/>
    <w:uiPriority w:val="99"/>
    <w:semiHidden/>
    <w:rsid w:val="001F678E"/>
    <w:rPr>
      <w:rFonts w:ascii="Arial Narrow" w:eastAsia="Times New Roman" w:hAnsi="Arial Narrow" w:cs="Arial"/>
      <w:sz w:val="14"/>
      <w:lang w:val="en-GB" w:eastAsia="en-US"/>
    </w:rPr>
  </w:style>
  <w:style w:type="paragraph" w:customStyle="1" w:styleId="HalfLineBreak">
    <w:name w:val="Half Line Break"/>
    <w:uiPriority w:val="99"/>
    <w:semiHidden/>
    <w:rsid w:val="001F678E"/>
    <w:pPr>
      <w:framePr w:wrap="around" w:vAnchor="page" w:hAnchor="page" w:x="9016" w:y="3970"/>
      <w:suppressOverlap/>
    </w:pPr>
    <w:rPr>
      <w:rFonts w:ascii="Arial Narrow" w:eastAsia="Times New Roman" w:hAnsi="Arial Narrow" w:cs="Arial"/>
      <w:b/>
      <w:sz w:val="7"/>
      <w:lang w:val="en-GB" w:eastAsia="en-US"/>
    </w:rPr>
  </w:style>
  <w:style w:type="paragraph" w:customStyle="1" w:styleId="TableHeading">
    <w:name w:val="Table Heading"/>
    <w:uiPriority w:val="99"/>
    <w:rsid w:val="00B42721"/>
    <w:rPr>
      <w:rFonts w:ascii="Arial" w:eastAsia="Times New Roman" w:hAnsi="Arial" w:cs="Arial"/>
      <w:b/>
      <w:bCs/>
      <w:kern w:val="28"/>
      <w:sz w:val="16"/>
      <w:szCs w:val="32"/>
      <w:lang w:val="en-GB" w:eastAsia="en-US"/>
    </w:rPr>
  </w:style>
  <w:style w:type="paragraph" w:customStyle="1" w:styleId="TableText">
    <w:name w:val="Table Text"/>
    <w:link w:val="TableTextChar"/>
    <w:uiPriority w:val="99"/>
    <w:rsid w:val="00B42721"/>
    <w:rPr>
      <w:rFonts w:ascii="Arial" w:hAnsi="Arial"/>
      <w:sz w:val="22"/>
      <w:szCs w:val="22"/>
      <w:lang w:val="en-GB"/>
    </w:rPr>
  </w:style>
  <w:style w:type="paragraph" w:customStyle="1" w:styleId="TableSubTot">
    <w:name w:val="Table SubTot"/>
    <w:basedOn w:val="TableText"/>
    <w:uiPriority w:val="99"/>
    <w:rsid w:val="00B42721"/>
    <w:pPr>
      <w:pBdr>
        <w:top w:val="single" w:sz="6" w:space="1" w:color="auto"/>
      </w:pBdr>
      <w:ind w:right="142"/>
    </w:pPr>
  </w:style>
  <w:style w:type="paragraph" w:customStyle="1" w:styleId="TableTotal">
    <w:name w:val="Table Total"/>
    <w:basedOn w:val="TableText"/>
    <w:uiPriority w:val="99"/>
    <w:rsid w:val="00B42721"/>
    <w:pPr>
      <w:pBdr>
        <w:top w:val="single" w:sz="6" w:space="1" w:color="auto"/>
        <w:bottom w:val="double" w:sz="6" w:space="1" w:color="auto"/>
      </w:pBdr>
      <w:ind w:right="142"/>
    </w:pPr>
  </w:style>
  <w:style w:type="paragraph" w:customStyle="1" w:styleId="tabelt">
    <w:name w:val="tabel_.t_"/>
    <w:basedOn w:val="a"/>
    <w:uiPriority w:val="99"/>
    <w:rsid w:val="00B42721"/>
    <w:pPr>
      <w:overflowPunct w:val="0"/>
      <w:autoSpaceDE w:val="0"/>
      <w:autoSpaceDN w:val="0"/>
      <w:adjustRightInd w:val="0"/>
      <w:spacing w:after="120" w:line="-40" w:lineRule="auto"/>
      <w:ind w:right="91"/>
      <w:jc w:val="right"/>
      <w:textAlignment w:val="baseline"/>
    </w:pPr>
    <w:rPr>
      <w:rFonts w:ascii="Times New Roman" w:eastAsia="Times New Roman" w:hAnsi="Times New Roman"/>
      <w:position w:val="4"/>
      <w:szCs w:val="20"/>
      <w:lang w:val="en-GB"/>
    </w:rPr>
  </w:style>
  <w:style w:type="character" w:customStyle="1" w:styleId="TableTextChar">
    <w:name w:val="Table Text Char"/>
    <w:link w:val="TableText"/>
    <w:uiPriority w:val="99"/>
    <w:locked/>
    <w:rsid w:val="00B42721"/>
    <w:rPr>
      <w:rFonts w:ascii="Arial" w:hAnsi="Arial"/>
      <w:sz w:val="22"/>
      <w:lang w:val="en-GB"/>
    </w:rPr>
  </w:style>
  <w:style w:type="paragraph" w:customStyle="1" w:styleId="SectionTitle">
    <w:name w:val="Section Title"/>
    <w:next w:val="af2"/>
    <w:uiPriority w:val="99"/>
    <w:rsid w:val="00B42721"/>
    <w:pPr>
      <w:spacing w:after="2520"/>
    </w:pPr>
    <w:rPr>
      <w:rFonts w:ascii="Garamond" w:eastAsia="Times New Roman" w:hAnsi="Garamond" w:cs="Arial"/>
      <w:color w:val="0000AD"/>
      <w:sz w:val="48"/>
      <w:lang w:val="en-GB" w:eastAsia="en-US"/>
    </w:rPr>
  </w:style>
  <w:style w:type="paragraph" w:styleId="af2">
    <w:name w:val="Body Text"/>
    <w:basedOn w:val="a"/>
    <w:link w:val="af3"/>
    <w:uiPriority w:val="99"/>
    <w:semiHidden/>
    <w:rsid w:val="00B42721"/>
    <w:pPr>
      <w:spacing w:after="120"/>
    </w:pPr>
  </w:style>
  <w:style w:type="character" w:customStyle="1" w:styleId="af3">
    <w:name w:val="Основной текст Знак"/>
    <w:link w:val="af2"/>
    <w:uiPriority w:val="99"/>
    <w:semiHidden/>
    <w:locked/>
    <w:rsid w:val="00B42721"/>
    <w:rPr>
      <w:rFonts w:ascii="Calibri" w:hAnsi="Calibri" w:cs="Times New Roman"/>
    </w:rPr>
  </w:style>
  <w:style w:type="paragraph" w:customStyle="1" w:styleId="1">
    <w:name w:val="Обычный1"/>
    <w:uiPriority w:val="99"/>
    <w:rsid w:val="006803BD"/>
    <w:pPr>
      <w:widowControl w:val="0"/>
    </w:pPr>
    <w:rPr>
      <w:rFonts w:ascii="Times New Roman" w:eastAsia="Times New Roman" w:hAnsi="Times New Roman"/>
    </w:rPr>
  </w:style>
  <w:style w:type="character" w:customStyle="1" w:styleId="hps">
    <w:name w:val="hps"/>
    <w:uiPriority w:val="99"/>
    <w:rsid w:val="007B2184"/>
    <w:rPr>
      <w:rFonts w:cs="Times New Roman"/>
    </w:rPr>
  </w:style>
  <w:style w:type="character" w:customStyle="1" w:styleId="shorttext">
    <w:name w:val="short_text"/>
    <w:uiPriority w:val="99"/>
    <w:rsid w:val="00372012"/>
    <w:rPr>
      <w:rFonts w:cs="Times New Roman"/>
    </w:rPr>
  </w:style>
  <w:style w:type="paragraph" w:customStyle="1" w:styleId="CoverTitle">
    <w:name w:val="Cover Title"/>
    <w:uiPriority w:val="99"/>
    <w:rsid w:val="004C5503"/>
    <w:pPr>
      <w:spacing w:before="400" w:after="400" w:line="580" w:lineRule="atLeast"/>
    </w:pPr>
    <w:rPr>
      <w:rFonts w:ascii="Garamond" w:eastAsia="Times New Roman" w:hAnsi="Garamond" w:cs="Arial"/>
      <w:bCs/>
      <w:kern w:val="28"/>
      <w:sz w:val="40"/>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0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package" Target="../embeddings/_____Microsoft_Excel10.xlsx"/><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gif"/><Relationship Id="rId2" Type="http://schemas.openxmlformats.org/officeDocument/2006/relationships/image" Target="../media/image3.jpeg"/><Relationship Id="rId1" Type="http://schemas.openxmlformats.org/officeDocument/2006/relationships/themeOverride" Target="../theme/themeOverride10.xml"/><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openxmlformats.org/officeDocument/2006/relationships/image" Target="../media/image2.png"/><Relationship Id="rId1" Type="http://schemas.openxmlformats.org/officeDocument/2006/relationships/themeOverride" Target="../theme/themeOverrid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solidFill>
                  <a:srgbClr val="006600"/>
                </a:solidFill>
              </a:defRPr>
            </a:pPr>
            <a:r>
              <a:rPr lang="ru-RU" sz="1400"/>
              <a:t>Структура активов                                                                           </a:t>
            </a:r>
            <a:r>
              <a:rPr lang="ru-RU" sz="1400">
                <a:solidFill>
                  <a:schemeClr val="accent4"/>
                </a:solidFill>
              </a:rPr>
              <a:t>А</a:t>
            </a:r>
            <a:r>
              <a:rPr lang="en-US" sz="1400">
                <a:solidFill>
                  <a:schemeClr val="accent4"/>
                </a:solidFill>
              </a:rPr>
              <a:t>ssets structure</a:t>
            </a:r>
          </a:p>
        </c:rich>
      </c:tx>
      <c:overlay val="0"/>
      <c:spPr>
        <a:noFill/>
        <a:ln w="14110">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активов                                                                           Аsset structure</c:v>
                </c:pt>
              </c:strCache>
            </c:strRef>
          </c:tx>
          <c:explosion val="25"/>
          <c:dLbls>
            <c:dLbl>
              <c:idx val="0"/>
              <c:layout>
                <c:manualLayout>
                  <c:x val="-0.10267068468293315"/>
                  <c:y val="4.7639710794661935E-2"/>
                </c:manualLayout>
              </c:layout>
              <c:numFmt formatCode="0.0%" sourceLinked="0"/>
              <c:spPr>
                <a:noFill/>
                <a:ln w="14110">
                  <a:noFill/>
                </a:ln>
              </c:spPr>
              <c:txPr>
                <a:bodyPr/>
                <a:lstStyle/>
                <a:p>
                  <a:pPr>
                    <a:defRPr sz="1400">
                      <a:solidFill>
                        <a:schemeClr val="bg1"/>
                      </a:solidFill>
                    </a:defRPr>
                  </a:pPr>
                  <a:endParaRPr lang="ru-RU"/>
                </a:p>
              </c:txPr>
              <c:dLblPos val="bestFit"/>
              <c:showLegendKey val="0"/>
              <c:showVal val="0"/>
              <c:showCatName val="0"/>
              <c:showSerName val="0"/>
              <c:showPercent val="1"/>
              <c:showBubbleSize val="0"/>
            </c:dLbl>
            <c:dLbl>
              <c:idx val="1"/>
              <c:layout>
                <c:manualLayout>
                  <c:x val="-2.5420433556916497E-3"/>
                  <c:y val="-0.15195247229421366"/>
                </c:manualLayout>
              </c:layout>
              <c:dLblPos val="bestFit"/>
              <c:showLegendKey val="0"/>
              <c:showVal val="0"/>
              <c:showCatName val="0"/>
              <c:showSerName val="0"/>
              <c:showPercent val="1"/>
              <c:showBubbleSize val="0"/>
            </c:dLbl>
            <c:dLbl>
              <c:idx val="2"/>
              <c:layout>
                <c:manualLayout>
                  <c:x val="7.5162729658792889E-3"/>
                  <c:y val="-3.245795392894337E-3"/>
                </c:manualLayout>
              </c:layout>
              <c:dLblPos val="bestFit"/>
              <c:showLegendKey val="0"/>
              <c:showVal val="0"/>
              <c:showCatName val="0"/>
              <c:showSerName val="0"/>
              <c:showPercent val="1"/>
              <c:showBubbleSize val="0"/>
            </c:dLbl>
            <c:dLbl>
              <c:idx val="3"/>
              <c:layout>
                <c:manualLayout>
                  <c:x val="-9.1209131265999152E-2"/>
                  <c:y val="-0.16255833285119256"/>
                </c:manualLayout>
              </c:layout>
              <c:numFmt formatCode="0.0%" sourceLinked="0"/>
              <c:spPr>
                <a:noFill/>
                <a:ln w="14110">
                  <a:noFill/>
                </a:ln>
              </c:spPr>
              <c:txPr>
                <a:bodyPr/>
                <a:lstStyle/>
                <a:p>
                  <a:pPr>
                    <a:defRPr sz="1400">
                      <a:solidFill>
                        <a:schemeClr val="bg1"/>
                      </a:solidFill>
                    </a:defRPr>
                  </a:pPr>
                  <a:endParaRPr lang="ru-RU"/>
                </a:p>
              </c:txPr>
              <c:dLblPos val="bestFit"/>
              <c:showLegendKey val="0"/>
              <c:showVal val="0"/>
              <c:showCatName val="0"/>
              <c:showSerName val="0"/>
              <c:showPercent val="1"/>
              <c:showBubbleSize val="0"/>
            </c:dLbl>
            <c:dLbl>
              <c:idx val="4"/>
              <c:layout>
                <c:manualLayout>
                  <c:x val="0.10659278701273452"/>
                  <c:y val="-0.11359088056705688"/>
                </c:manualLayout>
              </c:layout>
              <c:dLblPos val="bestFit"/>
              <c:showLegendKey val="0"/>
              <c:showVal val="0"/>
              <c:showCatName val="0"/>
              <c:showSerName val="0"/>
              <c:showPercent val="1"/>
              <c:showBubbleSize val="0"/>
            </c:dLbl>
            <c:dLbl>
              <c:idx val="5"/>
              <c:layout>
                <c:manualLayout>
                  <c:x val="0.12199005216940476"/>
                  <c:y val="4.5041342952412459E-2"/>
                </c:manualLayout>
              </c:layout>
              <c:dLblPos val="bestFit"/>
              <c:showLegendKey val="0"/>
              <c:showVal val="0"/>
              <c:showCatName val="0"/>
              <c:showSerName val="0"/>
              <c:showPercent val="1"/>
              <c:showBubbleSize val="0"/>
            </c:dLbl>
            <c:numFmt formatCode="0.0%" sourceLinked="0"/>
            <c:spPr>
              <a:noFill/>
              <a:ln w="14110">
                <a:noFill/>
              </a:ln>
            </c:spPr>
            <c:txPr>
              <a:bodyPr/>
              <a:lstStyle/>
              <a:p>
                <a:pPr>
                  <a:defRPr sz="1400"/>
                </a:pPr>
                <a:endParaRPr lang="ru-RU"/>
              </a:p>
            </c:txPr>
            <c:showLegendKey val="0"/>
            <c:showVal val="0"/>
            <c:showCatName val="0"/>
            <c:showSerName val="0"/>
            <c:showPercent val="1"/>
            <c:showBubbleSize val="0"/>
            <c:showLeaderLines val="1"/>
          </c:dLbls>
          <c:cat>
            <c:strRef>
              <c:f>Лист1!$A$2:$A$7</c:f>
              <c:strCache>
                <c:ptCount val="6"/>
                <c:pt idx="0">
                  <c:v>Ссуды, представленные клиентам                                       Loans provided to clients</c:v>
                </c:pt>
                <c:pt idx="1">
                  <c:v>Ценные бумаги                                          Securities</c:v>
                </c:pt>
                <c:pt idx="2">
                  <c:v>Прочие активы                                       Other assets</c:v>
                </c:pt>
                <c:pt idx="3">
                  <c:v>Денежные средства и счета в НБТ                                     Cash assets and accounts in NBT</c:v>
                </c:pt>
                <c:pt idx="4">
                  <c:v>Основные средства                             Fixed assets</c:v>
                </c:pt>
                <c:pt idx="5">
                  <c:v>Средства в банках                              Due from banks</c:v>
                </c:pt>
              </c:strCache>
            </c:strRef>
          </c:cat>
          <c:val>
            <c:numRef>
              <c:f>Лист1!$B$2:$B$7</c:f>
              <c:numCache>
                <c:formatCode>0</c:formatCode>
                <c:ptCount val="6"/>
                <c:pt idx="0">
                  <c:v>262</c:v>
                </c:pt>
                <c:pt idx="1">
                  <c:v>11</c:v>
                </c:pt>
                <c:pt idx="2">
                  <c:v>10.4</c:v>
                </c:pt>
                <c:pt idx="3">
                  <c:v>326</c:v>
                </c:pt>
                <c:pt idx="4">
                  <c:v>109</c:v>
                </c:pt>
                <c:pt idx="5">
                  <c:v>316</c:v>
                </c:pt>
              </c:numCache>
            </c:numRef>
          </c:val>
        </c:ser>
        <c:dLbls>
          <c:showLegendKey val="0"/>
          <c:showVal val="0"/>
          <c:showCatName val="0"/>
          <c:showSerName val="0"/>
          <c:showPercent val="0"/>
          <c:showBubbleSize val="0"/>
          <c:showLeaderLines val="1"/>
        </c:dLbls>
      </c:pie3DChart>
      <c:spPr>
        <a:noFill/>
        <a:ln w="14110">
          <a:noFill/>
        </a:ln>
      </c:spPr>
    </c:plotArea>
    <c:legend>
      <c:legendPos val="r"/>
      <c:layout>
        <c:manualLayout>
          <c:xMode val="edge"/>
          <c:yMode val="edge"/>
          <c:x val="0.68646803408833157"/>
          <c:y val="0.11714146895086065"/>
          <c:w val="0.29436611621090875"/>
          <c:h val="0.81965537072668759"/>
        </c:manualLayout>
      </c:layout>
      <c:overlay val="0"/>
      <c:txPr>
        <a:bodyPr/>
        <a:lstStyle/>
        <a:p>
          <a:pPr>
            <a:defRPr sz="800"/>
          </a:pPr>
          <a:endParaRPr lang="ru-RU"/>
        </a:p>
      </c:txPr>
    </c:legend>
    <c:plotVisOnly val="1"/>
    <c:dispBlanksAs val="zero"/>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5.0035052631675465E-2"/>
          <c:y val="0.27975119352935746"/>
          <c:w val="0.68411480757045162"/>
          <c:h val="0.66540591733939092"/>
        </c:manualLayout>
      </c:layout>
      <c:pie3DChart>
        <c:varyColors val="1"/>
        <c:ser>
          <c:idx val="0"/>
          <c:order val="0"/>
          <c:tx>
            <c:strRef>
              <c:f>Лист1!$B$1</c:f>
              <c:strCache>
                <c:ptCount val="1"/>
                <c:pt idx="0">
                  <c:v>Продажи</c:v>
                </c:pt>
              </c:strCache>
            </c:strRef>
          </c:tx>
          <c:explosion val="18"/>
          <c:dPt>
            <c:idx val="0"/>
            <c:bubble3D val="0"/>
            <c:spPr>
              <a:blipFill>
                <a:blip xmlns:r="http://schemas.openxmlformats.org/officeDocument/2006/relationships" r:embed="rId2"/>
                <a:stretch>
                  <a:fillRect/>
                </a:stretch>
              </a:blipFill>
            </c:spPr>
            <c:pictureOptions>
              <c:pictureFormat val="stretch"/>
            </c:pictureOptions>
          </c:dPt>
          <c:dPt>
            <c:idx val="1"/>
            <c:bubble3D val="0"/>
            <c:spPr>
              <a:blipFill>
                <a:blip xmlns:r="http://schemas.openxmlformats.org/officeDocument/2006/relationships" r:embed="rId3"/>
                <a:stretch>
                  <a:fillRect/>
                </a:stretch>
              </a:blipFill>
            </c:spPr>
            <c:pictureOptions>
              <c:pictureFormat val="stretch"/>
            </c:pictureOptions>
          </c:dPt>
          <c:dPt>
            <c:idx val="2"/>
            <c:bubble3D val="0"/>
            <c:spPr>
              <a:blipFill>
                <a:blip xmlns:r="http://schemas.openxmlformats.org/officeDocument/2006/relationships" r:embed="rId4"/>
                <a:stretch>
                  <a:fillRect/>
                </a:stretch>
              </a:blipFill>
            </c:spPr>
            <c:pictureOptions>
              <c:pictureFormat val="stretch"/>
            </c:pictureOptions>
          </c:dPt>
          <c:dPt>
            <c:idx val="3"/>
            <c:bubble3D val="0"/>
            <c:spPr>
              <a:blipFill>
                <a:blip xmlns:r="http://schemas.openxmlformats.org/officeDocument/2006/relationships" r:embed="rId5"/>
                <a:stretch>
                  <a:fillRect/>
                </a:stretch>
              </a:blipFill>
            </c:spPr>
            <c:pictureOptions>
              <c:pictureFormat val="stretch"/>
            </c:pictureOptions>
          </c:dPt>
          <c:dPt>
            <c:idx val="4"/>
            <c:bubble3D val="0"/>
            <c:spPr>
              <a:blipFill>
                <a:blip xmlns:r="http://schemas.openxmlformats.org/officeDocument/2006/relationships" r:embed="rId6"/>
                <a:stretch>
                  <a:fillRect/>
                </a:stretch>
              </a:blipFill>
            </c:spPr>
            <c:pictureOptions>
              <c:pictureFormat val="stretch"/>
            </c:pictureOptions>
          </c:dPt>
          <c:dPt>
            <c:idx val="5"/>
            <c:bubble3D val="0"/>
            <c:spPr>
              <a:blipFill>
                <a:blip xmlns:r="http://schemas.openxmlformats.org/officeDocument/2006/relationships" r:embed="rId7"/>
                <a:stretch>
                  <a:fillRect/>
                </a:stretch>
              </a:blipFill>
            </c:spPr>
            <c:pictureOptions>
              <c:pictureFormat val="stretch"/>
            </c:pictureOptions>
          </c:dPt>
          <c:dPt>
            <c:idx val="6"/>
            <c:bubble3D val="0"/>
            <c:spPr>
              <a:blipFill>
                <a:blip xmlns:r="http://schemas.openxmlformats.org/officeDocument/2006/relationships" r:embed="rId8"/>
                <a:stretch>
                  <a:fillRect/>
                </a:stretch>
              </a:blipFill>
            </c:spPr>
            <c:pictureOptions>
              <c:pictureFormat val="stretch"/>
            </c:pictureOptions>
          </c:dPt>
          <c:dPt>
            <c:idx val="7"/>
            <c:bubble3D val="0"/>
            <c:spPr>
              <a:blipFill>
                <a:blip xmlns:r="http://schemas.openxmlformats.org/officeDocument/2006/relationships" r:embed="rId9"/>
                <a:stretch>
                  <a:fillRect/>
                </a:stretch>
              </a:blipFill>
            </c:spPr>
            <c:pictureOptions>
              <c:pictureFormat val="stretch"/>
            </c:pictureOptions>
          </c:dPt>
          <c:dPt>
            <c:idx val="8"/>
            <c:bubble3D val="0"/>
            <c:spPr>
              <a:blipFill>
                <a:blip xmlns:r="http://schemas.openxmlformats.org/officeDocument/2006/relationships" r:embed="rId10"/>
                <a:stretch>
                  <a:fillRect/>
                </a:stretch>
              </a:blipFill>
            </c:spPr>
            <c:pictureOptions>
              <c:pictureFormat val="stretch"/>
            </c:pictureOptions>
          </c:dPt>
          <c:dPt>
            <c:idx val="9"/>
            <c:bubble3D val="0"/>
            <c:spPr>
              <a:blipFill>
                <a:blip xmlns:r="http://schemas.openxmlformats.org/officeDocument/2006/relationships" r:embed="rId11"/>
                <a:stretch>
                  <a:fillRect/>
                </a:stretch>
              </a:blipFill>
            </c:spPr>
            <c:pictureOptions>
              <c:pictureFormat val="stretch"/>
            </c:pictureOptions>
          </c:dPt>
          <c:dPt>
            <c:idx val="11"/>
            <c:bubble3D val="0"/>
            <c:spPr>
              <a:blipFill>
                <a:blip xmlns:r="http://schemas.openxmlformats.org/officeDocument/2006/relationships" r:embed="rId12"/>
                <a:stretch>
                  <a:fillRect/>
                </a:stretch>
              </a:blipFill>
            </c:spPr>
            <c:pictureOptions>
              <c:pictureFormat val="stretch"/>
            </c:pictureOptions>
          </c:dPt>
          <c:dLbls>
            <c:dLbl>
              <c:idx val="0"/>
              <c:layout>
                <c:manualLayout>
                  <c:x val="0.20366713800879044"/>
                  <c:y val="-0.12191153252142563"/>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1"/>
              <c:layout>
                <c:manualLayout>
                  <c:x val="0.14266352316316416"/>
                  <c:y val="-0.19503505870239812"/>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2"/>
              <c:layout>
                <c:manualLayout>
                  <c:x val="7.8572113052417333E-2"/>
                  <c:y val="-0.15758616804705591"/>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3"/>
              <c:layout>
                <c:manualLayout>
                  <c:x val="8.9246086439010233E-2"/>
                  <c:y val="-0.21884618453974658"/>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4"/>
              <c:layout>
                <c:manualLayout>
                  <c:x val="0.13179651958774991"/>
                  <c:y val="-0.15876072455173257"/>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5"/>
              <c:layout>
                <c:manualLayout>
                  <c:x val="0.1413188455235794"/>
                  <c:y val="-9.3181547903128131E-2"/>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6"/>
              <c:layout>
                <c:manualLayout>
                  <c:x val="0.15428751686148554"/>
                  <c:y val="1.4578779196677681E-2"/>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7"/>
              <c:layout>
                <c:manualLayout>
                  <c:x val="1.0480111786974501E-2"/>
                  <c:y val="-0.50876329138103016"/>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8"/>
              <c:layout>
                <c:manualLayout>
                  <c:x val="-6.2339007778979064E-2"/>
                  <c:y val="-0.14787734852622075"/>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9"/>
              <c:layout>
                <c:manualLayout>
                  <c:x val="8.6919063954890546E-2"/>
                  <c:y val="-0.17128711050884801"/>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10"/>
              <c:layout>
                <c:manualLayout>
                  <c:x val="0.16751191881177771"/>
                  <c:y val="-0.18286974373739456"/>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dLbl>
              <c:idx val="11"/>
              <c:layout>
                <c:manualLayout>
                  <c:x val="0.31529807804288557"/>
                  <c:y val="-0.15442317833229852"/>
                </c:manualLayout>
              </c:layout>
              <c:numFmt formatCode="0.0%" sourceLinked="0"/>
              <c:spPr>
                <a:noFill/>
                <a:ln w="21478">
                  <a:noFill/>
                </a:ln>
              </c:spPr>
              <c:txPr>
                <a:bodyPr/>
                <a:lstStyle/>
                <a:p>
                  <a:pPr>
                    <a:defRPr/>
                  </a:pPr>
                  <a:endParaRPr lang="ru-RU"/>
                </a:p>
              </c:txPr>
              <c:dLblPos val="bestFit"/>
              <c:showLegendKey val="0"/>
              <c:showVal val="0"/>
              <c:showCatName val="1"/>
              <c:showSerName val="0"/>
              <c:showPercent val="1"/>
              <c:showBubbleSize val="0"/>
              <c:separator>; </c:separator>
            </c:dLbl>
            <c:numFmt formatCode="0.0%" sourceLinked="0"/>
            <c:spPr>
              <a:noFill/>
              <a:ln w="21478">
                <a:noFill/>
              </a:ln>
            </c:spPr>
            <c:showLegendKey val="0"/>
            <c:showVal val="0"/>
            <c:showCatName val="1"/>
            <c:showSerName val="0"/>
            <c:showPercent val="1"/>
            <c:showBubbleSize val="0"/>
            <c:separator>; </c:separator>
            <c:showLeaderLines val="1"/>
          </c:dLbls>
          <c:cat>
            <c:strRef>
              <c:f>Лист1!$A$2:$A$13</c:f>
              <c:strCache>
                <c:ptCount val="12"/>
                <c:pt idx="0">
                  <c:v>Юнистрим     Unistream</c:v>
                </c:pt>
                <c:pt idx="1">
                  <c:v>Мигом       Migom</c:v>
                </c:pt>
                <c:pt idx="2">
                  <c:v>Вестерн Ю.     Western Union</c:v>
                </c:pt>
                <c:pt idx="3">
                  <c:v>Контакт            Contact</c:v>
                </c:pt>
                <c:pt idx="4">
                  <c:v>Лидер         Leader</c:v>
                </c:pt>
                <c:pt idx="5">
                  <c:v>Анелик          Anelik</c:v>
                </c:pt>
                <c:pt idx="6">
                  <c:v>Быстрая почта            Bistraya pochta</c:v>
                </c:pt>
                <c:pt idx="7">
                  <c:v>Золотая корона     Zolotaya Corona</c:v>
                </c:pt>
                <c:pt idx="8">
                  <c:v>ИнтЭкс              InterExpress</c:v>
                </c:pt>
                <c:pt idx="9">
                  <c:v>Близко    Blizko</c:v>
                </c:pt>
                <c:pt idx="10">
                  <c:v>SWIFT</c:v>
                </c:pt>
                <c:pt idx="11">
                  <c:v>Маниграм         Moneygram</c:v>
                </c:pt>
              </c:strCache>
            </c:strRef>
          </c:cat>
          <c:val>
            <c:numRef>
              <c:f>Лист1!$B$2:$B$13</c:f>
              <c:numCache>
                <c:formatCode>_-* #,##0_р_._-;\-* #,##0_р_._-;_-* "-"??_р_._-;_-@_-</c:formatCode>
                <c:ptCount val="12"/>
                <c:pt idx="0">
                  <c:v>28100</c:v>
                </c:pt>
                <c:pt idx="1">
                  <c:v>12900</c:v>
                </c:pt>
                <c:pt idx="2">
                  <c:v>10300</c:v>
                </c:pt>
                <c:pt idx="3">
                  <c:v>12900</c:v>
                </c:pt>
                <c:pt idx="4">
                  <c:v>4600</c:v>
                </c:pt>
                <c:pt idx="5">
                  <c:v>6800</c:v>
                </c:pt>
                <c:pt idx="6">
                  <c:v>1500</c:v>
                </c:pt>
                <c:pt idx="7">
                  <c:v>117300</c:v>
                </c:pt>
                <c:pt idx="8">
                  <c:v>1500</c:v>
                </c:pt>
                <c:pt idx="9">
                  <c:v>5700</c:v>
                </c:pt>
                <c:pt idx="10">
                  <c:v>2400</c:v>
                </c:pt>
                <c:pt idx="11">
                  <c:v>700</c:v>
                </c:pt>
              </c:numCache>
            </c:numRef>
          </c:val>
        </c:ser>
        <c:dLbls>
          <c:showLegendKey val="0"/>
          <c:showVal val="0"/>
          <c:showCatName val="0"/>
          <c:showSerName val="0"/>
          <c:showPercent val="0"/>
          <c:showBubbleSize val="0"/>
          <c:showLeaderLines val="1"/>
        </c:dLbls>
      </c:pie3DChart>
      <c:spPr>
        <a:noFill/>
        <a:ln w="21478">
          <a:noFill/>
        </a:ln>
      </c:spPr>
    </c:plotArea>
    <c:plotVisOnly val="1"/>
    <c:dispBlanksAs val="zero"/>
    <c:showDLblsOverMax val="0"/>
  </c:chart>
  <c:spPr>
    <a:ln>
      <a:noFill/>
    </a:ln>
  </c:spPr>
  <c:txPr>
    <a:bodyPr/>
    <a:lstStyle/>
    <a:p>
      <a:pPr>
        <a:defRPr sz="846">
          <a:latin typeface="Palatino Linotype" pitchFamily="18" charset="0"/>
        </a:defRPr>
      </a:pPr>
      <a:endParaRPr lang="ru-RU"/>
    </a:p>
  </c:txPr>
  <c:externalData r:id="rId1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Palatino Linotype" pitchFamily="18" charset="0"/>
                <a:ea typeface="+mn-ea"/>
                <a:cs typeface="+mn-cs"/>
              </a:defRPr>
            </a:pPr>
            <a:r>
              <a:rPr lang="ru-RU" sz="1050">
                <a:solidFill>
                  <a:srgbClr val="006600"/>
                </a:solidFill>
              </a:rPr>
              <a:t>Динамика выданных межбанковских кредитов</a:t>
            </a:r>
            <a:endParaRPr lang="en-US" sz="1050">
              <a:solidFill>
                <a:srgbClr val="006600"/>
              </a:solidFill>
            </a:endParaRPr>
          </a:p>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Palatino Linotype" pitchFamily="18" charset="0"/>
                <a:ea typeface="+mn-ea"/>
                <a:cs typeface="+mn-cs"/>
              </a:defRPr>
            </a:pPr>
            <a:r>
              <a:rPr lang="en-US" sz="1050">
                <a:solidFill>
                  <a:schemeClr val="accent4"/>
                </a:solidFill>
                <a:effectLst/>
              </a:rPr>
              <a:t>Dynamic of granted inter-bank credits</a:t>
            </a:r>
            <a:endParaRPr lang="ru-RU" sz="1050">
              <a:solidFill>
                <a:schemeClr val="accent4"/>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Palatino Linotype" pitchFamily="18" charset="0"/>
                <a:ea typeface="+mn-ea"/>
                <a:cs typeface="+mn-cs"/>
              </a:defRPr>
            </a:pPr>
            <a:endParaRPr lang="ru-RU" sz="1050"/>
          </a:p>
        </c:rich>
      </c:tx>
      <c:overlay val="0"/>
      <c:spPr>
        <a:noFill/>
        <a:ln w="15816">
          <a:noFill/>
        </a:ln>
      </c:spPr>
    </c:title>
    <c:autoTitleDeleted val="0"/>
    <c:plotArea>
      <c:layout>
        <c:manualLayout>
          <c:layoutTarget val="inner"/>
          <c:xMode val="edge"/>
          <c:yMode val="edge"/>
          <c:x val="7.2619993497791677E-2"/>
          <c:y val="0.28423501436809362"/>
          <c:w val="0.90522492090301399"/>
          <c:h val="0.57600710786049536"/>
        </c:manualLayout>
      </c:layout>
      <c:lineChart>
        <c:grouping val="standard"/>
        <c:varyColors val="0"/>
        <c:ser>
          <c:idx val="0"/>
          <c:order val="0"/>
          <c:tx>
            <c:strRef>
              <c:f>Лист1!$B$1</c:f>
              <c:strCache>
                <c:ptCount val="1"/>
                <c:pt idx="0">
                  <c:v>Ряд 1</c:v>
                </c:pt>
              </c:strCache>
            </c:strRef>
          </c:tx>
          <c:dLbls>
            <c:dLbl>
              <c:idx val="0"/>
              <c:layout>
                <c:manualLayout>
                  <c:x val="-5.3083528493364555E-2"/>
                  <c:y val="-6.6945606694560456E-2"/>
                </c:manualLayout>
              </c:layout>
              <c:spPr>
                <a:noFill/>
                <a:ln w="15816">
                  <a:noFill/>
                </a:ln>
              </c:spPr>
              <c:txPr>
                <a:bodyPr/>
                <a:lstStyle/>
                <a:p>
                  <a:pPr>
                    <a:defRPr/>
                  </a:pPr>
                  <a:endParaRPr lang="ru-RU"/>
                </a:p>
              </c:txPr>
              <c:dLblPos val="r"/>
              <c:showLegendKey val="0"/>
              <c:showVal val="1"/>
              <c:showCatName val="0"/>
              <c:showSerName val="0"/>
              <c:showPercent val="0"/>
              <c:showBubbleSize val="0"/>
            </c:dLbl>
            <c:dLbl>
              <c:idx val="1"/>
              <c:layout>
                <c:manualLayout>
                  <c:x val="-9.367681498829078E-2"/>
                  <c:y val="-7.8103207810321068E-2"/>
                </c:manualLayout>
              </c:layout>
              <c:spPr>
                <a:noFill/>
                <a:ln w="15816">
                  <a:noFill/>
                </a:ln>
              </c:spPr>
              <c:txPr>
                <a:bodyPr/>
                <a:lstStyle/>
                <a:p>
                  <a:pPr>
                    <a:defRPr/>
                  </a:pPr>
                  <a:endParaRPr lang="ru-RU"/>
                </a:p>
              </c:txPr>
              <c:dLblPos val="r"/>
              <c:showLegendKey val="0"/>
              <c:showVal val="1"/>
              <c:showCatName val="0"/>
              <c:showSerName val="0"/>
              <c:showPercent val="0"/>
              <c:showBubbleSize val="0"/>
            </c:dLbl>
            <c:dLbl>
              <c:idx val="2"/>
              <c:layout>
                <c:manualLayout>
                  <c:x val="-4.9960967993754893E-2"/>
                  <c:y val="-6.1366806136680781E-2"/>
                </c:manualLayout>
              </c:layout>
              <c:spPr>
                <a:noFill/>
                <a:ln w="15816">
                  <a:noFill/>
                </a:ln>
              </c:spPr>
              <c:txPr>
                <a:bodyPr/>
                <a:lstStyle/>
                <a:p>
                  <a:pPr>
                    <a:defRPr/>
                  </a:pPr>
                  <a:endParaRPr lang="ru-RU"/>
                </a:p>
              </c:txPr>
              <c:dLblPos val="r"/>
              <c:showLegendKey val="0"/>
              <c:showVal val="1"/>
              <c:showCatName val="0"/>
              <c:showSerName val="0"/>
              <c:showPercent val="0"/>
              <c:showBubbleSize val="0"/>
            </c:dLbl>
            <c:spPr>
              <a:noFill/>
              <a:ln w="15816">
                <a:noFill/>
              </a:ln>
            </c:sp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General</c:formatCode>
                <c:ptCount val="3"/>
                <c:pt idx="0">
                  <c:v>42.8</c:v>
                </c:pt>
                <c:pt idx="1">
                  <c:v>153.1</c:v>
                </c:pt>
                <c:pt idx="2">
                  <c:v>937.9</c:v>
                </c:pt>
              </c:numCache>
            </c:numRef>
          </c:val>
          <c:smooth val="0"/>
        </c:ser>
        <c:dLbls>
          <c:showLegendKey val="0"/>
          <c:showVal val="0"/>
          <c:showCatName val="0"/>
          <c:showSerName val="0"/>
          <c:showPercent val="0"/>
          <c:showBubbleSize val="0"/>
        </c:dLbls>
        <c:marker val="1"/>
        <c:smooth val="0"/>
        <c:axId val="149571072"/>
        <c:axId val="149572608"/>
      </c:lineChart>
      <c:catAx>
        <c:axId val="149571072"/>
        <c:scaling>
          <c:orientation val="minMax"/>
        </c:scaling>
        <c:delete val="0"/>
        <c:axPos val="b"/>
        <c:numFmt formatCode="General" sourceLinked="1"/>
        <c:majorTickMark val="out"/>
        <c:minorTickMark val="none"/>
        <c:tickLblPos val="nextTo"/>
        <c:spPr>
          <a:noFill/>
          <a:ln w="5931" cap="flat" cmpd="sng" algn="ctr">
            <a:solidFill>
              <a:schemeClr val="accent2">
                <a:shade val="95000"/>
                <a:satMod val="105000"/>
              </a:schemeClr>
            </a:solidFill>
            <a:prstDash val="solid"/>
          </a:ln>
          <a:effectLst/>
        </c:spPr>
        <c:txPr>
          <a:bodyPr/>
          <a:lstStyle/>
          <a:p>
            <a:pPr>
              <a:defRPr>
                <a:solidFill>
                  <a:schemeClr val="tx1"/>
                </a:solidFill>
                <a:latin typeface="+mn-lt"/>
                <a:ea typeface="+mn-ea"/>
                <a:cs typeface="+mn-cs"/>
              </a:defRPr>
            </a:pPr>
            <a:endParaRPr lang="ru-RU"/>
          </a:p>
        </c:txPr>
        <c:crossAx val="149572608"/>
        <c:crosses val="autoZero"/>
        <c:auto val="1"/>
        <c:lblAlgn val="ctr"/>
        <c:lblOffset val="100"/>
        <c:noMultiLvlLbl val="0"/>
      </c:catAx>
      <c:valAx>
        <c:axId val="149572608"/>
        <c:scaling>
          <c:orientation val="minMax"/>
        </c:scaling>
        <c:delete val="0"/>
        <c:axPos val="l"/>
        <c:majorGridlines>
          <c:spPr>
            <a:ln w="5931" cap="flat" cmpd="sng" algn="ctr">
              <a:solidFill>
                <a:schemeClr val="accent3">
                  <a:shade val="95000"/>
                  <a:satMod val="105000"/>
                </a:schemeClr>
              </a:solidFill>
              <a:prstDash val="solid"/>
            </a:ln>
            <a:effectLst/>
          </c:spPr>
        </c:majorGridlines>
        <c:title>
          <c:tx>
            <c:rich>
              <a:bodyPr rot="0" vert="horz"/>
              <a:lstStyle/>
              <a:p>
                <a:pPr>
                  <a:defRPr sz="700"/>
                </a:pPr>
                <a:r>
                  <a:rPr lang="en-US" sz="700" b="1" i="0" baseline="0">
                    <a:effectLst/>
                  </a:rPr>
                  <a:t>(</a:t>
                </a:r>
                <a:r>
                  <a:rPr lang="ru-RU" sz="700" b="1" i="0" baseline="0">
                    <a:effectLst/>
                  </a:rPr>
                  <a:t>млн</a:t>
                </a:r>
                <a:r>
                  <a:rPr lang="en-US" sz="700" b="1" i="0" baseline="0">
                    <a:effectLst/>
                  </a:rPr>
                  <a:t>. </a:t>
                </a:r>
                <a:r>
                  <a:rPr lang="ru-RU" sz="700" b="1" i="0" baseline="0">
                    <a:effectLst/>
                  </a:rPr>
                  <a:t>сомони</a:t>
                </a:r>
                <a:r>
                  <a:rPr lang="en-US" sz="700" b="1" i="0" baseline="0">
                    <a:effectLst/>
                  </a:rPr>
                  <a:t>) </a:t>
                </a:r>
                <a:endParaRPr lang="ru-RU" sz="700">
                  <a:effectLst/>
                </a:endParaRPr>
              </a:p>
              <a:p>
                <a:pPr>
                  <a:defRPr sz="700"/>
                </a:pPr>
                <a:r>
                  <a:rPr lang="en-US" sz="700" b="1" i="0" baseline="0">
                    <a:effectLst/>
                  </a:rPr>
                  <a:t>(million TJS)</a:t>
                </a:r>
                <a:endParaRPr lang="ru-RU" sz="700">
                  <a:effectLst/>
                </a:endParaRPr>
              </a:p>
            </c:rich>
          </c:tx>
          <c:layout>
            <c:manualLayout>
              <c:xMode val="edge"/>
              <c:yMode val="edge"/>
              <c:x val="1.0963525559042685E-2"/>
              <c:y val="0.13076488905771491"/>
            </c:manualLayout>
          </c:layout>
          <c:overlay val="0"/>
        </c:title>
        <c:numFmt formatCode="General" sourceLinked="1"/>
        <c:majorTickMark val="out"/>
        <c:minorTickMark val="none"/>
        <c:tickLblPos val="nextTo"/>
        <c:spPr>
          <a:noFill/>
          <a:ln w="5931" cap="flat" cmpd="sng" algn="ctr">
            <a:solidFill>
              <a:schemeClr val="accent2">
                <a:shade val="95000"/>
                <a:satMod val="105000"/>
              </a:schemeClr>
            </a:solidFill>
            <a:prstDash val="solid"/>
          </a:ln>
          <a:effectLst/>
        </c:spPr>
        <c:txPr>
          <a:bodyPr/>
          <a:lstStyle/>
          <a:p>
            <a:pPr>
              <a:defRPr>
                <a:solidFill>
                  <a:schemeClr val="tx1"/>
                </a:solidFill>
                <a:latin typeface="+mn-lt"/>
                <a:ea typeface="+mn-ea"/>
                <a:cs typeface="+mn-cs"/>
              </a:defRPr>
            </a:pPr>
            <a:endParaRPr lang="ru-RU"/>
          </a:p>
        </c:txPr>
        <c:crossAx val="149571072"/>
        <c:crosses val="autoZero"/>
        <c:crossBetween val="between"/>
      </c:valAx>
    </c:plotArea>
    <c:plotVisOnly val="1"/>
    <c:dispBlanksAs val="gap"/>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Palatino Linotype" pitchFamily="18" charset="0"/>
                <a:ea typeface="+mn-ea"/>
                <a:cs typeface="+mn-cs"/>
              </a:defRPr>
            </a:pPr>
            <a:r>
              <a:rPr lang="ru-RU" sz="800">
                <a:solidFill>
                  <a:srgbClr val="006600"/>
                </a:solidFill>
              </a:rPr>
              <a:t>Безналичные расчеты в иностранной валюте   </a:t>
            </a:r>
            <a:r>
              <a:rPr lang="ru-RU" sz="800" b="1">
                <a:solidFill>
                  <a:srgbClr val="006600"/>
                </a:solidFill>
              </a:rPr>
              <a:t>(в млрд. долл. США)</a:t>
            </a:r>
            <a:r>
              <a:rPr lang="en-US" sz="800" b="1">
                <a:solidFill>
                  <a:srgbClr val="006600"/>
                </a:solidFill>
                <a:effectLst/>
              </a:rPr>
              <a:t> </a:t>
            </a: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Palatino Linotype" pitchFamily="18" charset="0"/>
                <a:ea typeface="+mn-ea"/>
                <a:cs typeface="+mn-cs"/>
              </a:defRPr>
            </a:pPr>
            <a:r>
              <a:rPr lang="en-US" sz="800">
                <a:solidFill>
                  <a:schemeClr val="accent4"/>
                </a:solidFill>
                <a:effectLst/>
              </a:rPr>
              <a:t>Cashless settlements in foreign currency (billions USD)</a:t>
            </a:r>
            <a:endParaRPr lang="ru-RU" sz="800">
              <a:solidFill>
                <a:schemeClr val="accent4"/>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Palatino Linotype" pitchFamily="18" charset="0"/>
                <a:ea typeface="+mn-ea"/>
                <a:cs typeface="+mn-cs"/>
              </a:defRPr>
            </a:pPr>
            <a:endParaRPr lang="ru-RU" sz="800" b="0"/>
          </a:p>
        </c:rich>
      </c:tx>
      <c:overlay val="0"/>
      <c:spPr>
        <a:noFill/>
        <a:ln w="15268">
          <a:noFill/>
        </a:ln>
      </c:spPr>
    </c:title>
    <c:autoTitleDeleted val="0"/>
    <c:plotArea>
      <c:layout/>
      <c:lineChart>
        <c:grouping val="standard"/>
        <c:varyColors val="0"/>
        <c:ser>
          <c:idx val="0"/>
          <c:order val="0"/>
          <c:tx>
            <c:strRef>
              <c:f>Лист1!$B$1</c:f>
              <c:strCache>
                <c:ptCount val="1"/>
                <c:pt idx="0">
                  <c:v>Ряд 1</c:v>
                </c:pt>
              </c:strCache>
            </c:strRef>
          </c:tx>
          <c:dLbls>
            <c:dLbl>
              <c:idx val="0"/>
              <c:layout>
                <c:manualLayout>
                  <c:x val="-3.2310177705977466E-2"/>
                  <c:y val="-9.0497737556560987E-2"/>
                </c:manualLayout>
              </c:layout>
              <c:dLblPos val="r"/>
              <c:showLegendKey val="0"/>
              <c:showVal val="1"/>
              <c:showCatName val="0"/>
              <c:showSerName val="0"/>
              <c:showPercent val="0"/>
              <c:showBubbleSize val="0"/>
            </c:dLbl>
            <c:dLbl>
              <c:idx val="1"/>
              <c:layout>
                <c:manualLayout>
                  <c:x val="-2.5848142164781977E-2"/>
                  <c:y val="-6.0331825037707412E-2"/>
                </c:manualLayout>
              </c:layout>
              <c:dLblPos val="r"/>
              <c:showLegendKey val="0"/>
              <c:showVal val="1"/>
              <c:showCatName val="0"/>
              <c:showSerName val="0"/>
              <c:showPercent val="0"/>
              <c:showBubbleSize val="0"/>
            </c:dLbl>
            <c:dLbl>
              <c:idx val="2"/>
              <c:layout>
                <c:manualLayout>
                  <c:x val="-3.8772213247172858E-2"/>
                  <c:y val="-7.8431372549019662E-2"/>
                </c:manualLayout>
              </c:layout>
              <c:dLblPos val="r"/>
              <c:showLegendKey val="0"/>
              <c:showVal val="1"/>
              <c:showCatName val="0"/>
              <c:showSerName val="0"/>
              <c:showPercent val="0"/>
              <c:showBubbleSize val="0"/>
            </c:dLbl>
            <c:spPr>
              <a:noFill/>
              <a:ln w="15268">
                <a:noFill/>
              </a:ln>
            </c:spPr>
            <c:txPr>
              <a:bodyPr/>
              <a:lstStyle/>
              <a:p>
                <a:pPr>
                  <a:defRPr b="1"/>
                </a:pPr>
                <a:endParaRPr lang="ru-RU"/>
              </a:p>
            </c:tx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General</c:formatCode>
                <c:ptCount val="3"/>
                <c:pt idx="0">
                  <c:v>0.9</c:v>
                </c:pt>
                <c:pt idx="1">
                  <c:v>1.6</c:v>
                </c:pt>
                <c:pt idx="2">
                  <c:v>12.3</c:v>
                </c:pt>
              </c:numCache>
            </c:numRef>
          </c:val>
          <c:smooth val="0"/>
        </c:ser>
        <c:dLbls>
          <c:showLegendKey val="0"/>
          <c:showVal val="0"/>
          <c:showCatName val="0"/>
          <c:showSerName val="0"/>
          <c:showPercent val="0"/>
          <c:showBubbleSize val="0"/>
        </c:dLbls>
        <c:marker val="1"/>
        <c:smooth val="0"/>
        <c:axId val="11251072"/>
        <c:axId val="149988480"/>
      </c:lineChart>
      <c:catAx>
        <c:axId val="11251072"/>
        <c:scaling>
          <c:orientation val="minMax"/>
        </c:scaling>
        <c:delete val="0"/>
        <c:axPos val="b"/>
        <c:numFmt formatCode="General" sourceLinked="1"/>
        <c:majorTickMark val="out"/>
        <c:minorTickMark val="none"/>
        <c:tickLblPos val="nextTo"/>
        <c:spPr>
          <a:noFill/>
          <a:ln w="5725" cap="flat" cmpd="sng" algn="ctr">
            <a:solidFill>
              <a:schemeClr val="accent2">
                <a:shade val="95000"/>
                <a:satMod val="105000"/>
              </a:schemeClr>
            </a:solidFill>
            <a:prstDash val="solid"/>
          </a:ln>
          <a:effectLst/>
        </c:spPr>
        <c:crossAx val="149988480"/>
        <c:crosses val="autoZero"/>
        <c:auto val="1"/>
        <c:lblAlgn val="ctr"/>
        <c:lblOffset val="100"/>
        <c:noMultiLvlLbl val="0"/>
      </c:catAx>
      <c:valAx>
        <c:axId val="149988480"/>
        <c:scaling>
          <c:orientation val="minMax"/>
        </c:scaling>
        <c:delete val="0"/>
        <c:axPos val="l"/>
        <c:majorGridlines>
          <c:spPr>
            <a:ln w="5725" cap="flat" cmpd="sng" algn="ctr">
              <a:solidFill>
                <a:schemeClr val="accent1">
                  <a:shade val="95000"/>
                  <a:satMod val="105000"/>
                </a:schemeClr>
              </a:solidFill>
              <a:prstDash val="solid"/>
            </a:ln>
            <a:effectLst/>
          </c:spPr>
        </c:majorGridlines>
        <c:numFmt formatCode="General" sourceLinked="1"/>
        <c:majorTickMark val="out"/>
        <c:minorTickMark val="none"/>
        <c:tickLblPos val="nextTo"/>
        <c:spPr>
          <a:noFill/>
          <a:ln w="5725" cap="flat" cmpd="sng" algn="ctr">
            <a:solidFill>
              <a:schemeClr val="accent2">
                <a:shade val="95000"/>
                <a:satMod val="105000"/>
              </a:schemeClr>
            </a:solidFill>
            <a:prstDash val="solid"/>
          </a:ln>
          <a:effectLst/>
        </c:spPr>
        <c:crossAx val="11251072"/>
        <c:crosses val="autoZero"/>
        <c:crossBetween val="between"/>
      </c:valAx>
    </c:plotArea>
    <c:plotVisOnly val="1"/>
    <c:dispBlanksAs val="gap"/>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851"/>
            </a:pPr>
            <a:r>
              <a:rPr lang="ru-RU" sz="900">
                <a:solidFill>
                  <a:srgbClr val="006600"/>
                </a:solidFill>
              </a:rPr>
              <a:t>Безналичные расчеты в национальной валюте  (в млрд. сомони)</a:t>
            </a:r>
            <a:endParaRPr lang="en-US" sz="900">
              <a:solidFill>
                <a:srgbClr val="006600"/>
              </a:solidFill>
            </a:endParaRPr>
          </a:p>
          <a:p>
            <a:pPr algn="ctr">
              <a:defRPr sz="851"/>
            </a:pPr>
            <a:r>
              <a:rPr lang="en-US" sz="900">
                <a:solidFill>
                  <a:schemeClr val="accent4"/>
                </a:solidFill>
                <a:effectLst/>
              </a:rPr>
              <a:t>Cashless settlements in national currency (billions TJS)</a:t>
            </a:r>
            <a:endParaRPr lang="ru-RU" sz="900">
              <a:solidFill>
                <a:schemeClr val="accent4"/>
              </a:solidFill>
              <a:effectLst/>
            </a:endParaRPr>
          </a:p>
          <a:p>
            <a:pPr algn="ctr">
              <a:defRPr sz="851"/>
            </a:pPr>
            <a:r>
              <a:rPr lang="en-US" sz="800">
                <a:effectLst/>
              </a:rPr>
              <a:t> </a:t>
            </a:r>
            <a:endParaRPr lang="ru-RU" sz="800">
              <a:effectLst/>
            </a:endParaRPr>
          </a:p>
          <a:p>
            <a:pPr algn="ctr">
              <a:defRPr sz="851"/>
            </a:pPr>
            <a:endParaRPr lang="ru-RU" sz="709"/>
          </a:p>
        </c:rich>
      </c:tx>
      <c:overlay val="0"/>
      <c:spPr>
        <a:noFill/>
        <a:ln w="18020">
          <a:noFill/>
        </a:ln>
      </c:spPr>
    </c:title>
    <c:autoTitleDeleted val="0"/>
    <c:plotArea>
      <c:layout/>
      <c:lineChart>
        <c:grouping val="standard"/>
        <c:varyColors val="0"/>
        <c:ser>
          <c:idx val="0"/>
          <c:order val="0"/>
          <c:tx>
            <c:strRef>
              <c:f>Лист1!$B$1</c:f>
              <c:strCache>
                <c:ptCount val="1"/>
                <c:pt idx="0">
                  <c:v>Ряд 1</c:v>
                </c:pt>
              </c:strCache>
            </c:strRef>
          </c:tx>
          <c:dLbls>
            <c:dLbl>
              <c:idx val="0"/>
              <c:layout>
                <c:manualLayout>
                  <c:x val="-5.0925925925925923E-2"/>
                  <c:y val="-5.1587301587301515E-2"/>
                </c:manualLayout>
              </c:layout>
              <c:dLblPos val="r"/>
              <c:showLegendKey val="0"/>
              <c:showVal val="1"/>
              <c:showCatName val="0"/>
              <c:showSerName val="0"/>
              <c:showPercent val="0"/>
              <c:showBubbleSize val="0"/>
            </c:dLbl>
            <c:dLbl>
              <c:idx val="1"/>
              <c:layout>
                <c:manualLayout>
                  <c:x val="-4.8611111111111112E-2"/>
                  <c:y val="-6.3492063492063502E-2"/>
                </c:manualLayout>
              </c:layout>
              <c:dLblPos val="r"/>
              <c:showLegendKey val="0"/>
              <c:showVal val="1"/>
              <c:showCatName val="0"/>
              <c:showSerName val="0"/>
              <c:showPercent val="0"/>
              <c:showBubbleSize val="0"/>
            </c:dLbl>
            <c:dLbl>
              <c:idx val="2"/>
              <c:layout>
                <c:manualLayout>
                  <c:x val="-4.6296296296296426E-2"/>
                  <c:y val="-4.7619047619047623E-2"/>
                </c:manualLayout>
              </c:layout>
              <c:dLblPos val="r"/>
              <c:showLegendKey val="0"/>
              <c:showVal val="1"/>
              <c:showCatName val="0"/>
              <c:showSerName val="0"/>
              <c:showPercent val="0"/>
              <c:showBubbleSize val="0"/>
            </c:dLbl>
            <c:spPr>
              <a:noFill/>
              <a:ln w="18020">
                <a:noFill/>
              </a:ln>
            </c:spPr>
            <c:txPr>
              <a:bodyPr/>
              <a:lstStyle/>
              <a:p>
                <a:pPr>
                  <a:defRPr b="1"/>
                </a:pPr>
                <a:endParaRPr lang="ru-RU"/>
              </a:p>
            </c:tx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General</c:formatCode>
                <c:ptCount val="3"/>
                <c:pt idx="0">
                  <c:v>10.4</c:v>
                </c:pt>
                <c:pt idx="1">
                  <c:v>14.3</c:v>
                </c:pt>
                <c:pt idx="2">
                  <c:v>34.6</c:v>
                </c:pt>
              </c:numCache>
            </c:numRef>
          </c:val>
          <c:smooth val="0"/>
        </c:ser>
        <c:dLbls>
          <c:showLegendKey val="0"/>
          <c:showVal val="0"/>
          <c:showCatName val="0"/>
          <c:showSerName val="0"/>
          <c:showPercent val="0"/>
          <c:showBubbleSize val="0"/>
        </c:dLbls>
        <c:marker val="1"/>
        <c:smooth val="0"/>
        <c:axId val="149902464"/>
        <c:axId val="149904000"/>
      </c:lineChart>
      <c:catAx>
        <c:axId val="149902464"/>
        <c:scaling>
          <c:orientation val="minMax"/>
        </c:scaling>
        <c:delete val="0"/>
        <c:axPos val="b"/>
        <c:numFmt formatCode="General" sourceLinked="1"/>
        <c:majorTickMark val="out"/>
        <c:minorTickMark val="none"/>
        <c:tickLblPos val="nextTo"/>
        <c:spPr>
          <a:noFill/>
          <a:ln w="6757" cap="flat" cmpd="sng" algn="ctr">
            <a:solidFill>
              <a:schemeClr val="accent2">
                <a:shade val="95000"/>
                <a:satMod val="105000"/>
              </a:schemeClr>
            </a:solidFill>
            <a:prstDash val="solid"/>
          </a:ln>
          <a:effectLst/>
        </c:spPr>
        <c:txPr>
          <a:bodyPr/>
          <a:lstStyle/>
          <a:p>
            <a:pPr>
              <a:defRPr>
                <a:solidFill>
                  <a:schemeClr val="tx1"/>
                </a:solidFill>
                <a:latin typeface="+mn-lt"/>
                <a:ea typeface="+mn-ea"/>
                <a:cs typeface="+mn-cs"/>
              </a:defRPr>
            </a:pPr>
            <a:endParaRPr lang="ru-RU"/>
          </a:p>
        </c:txPr>
        <c:crossAx val="149904000"/>
        <c:crosses val="autoZero"/>
        <c:auto val="1"/>
        <c:lblAlgn val="ctr"/>
        <c:lblOffset val="100"/>
        <c:noMultiLvlLbl val="0"/>
      </c:catAx>
      <c:valAx>
        <c:axId val="149904000"/>
        <c:scaling>
          <c:orientation val="minMax"/>
        </c:scaling>
        <c:delete val="0"/>
        <c:axPos val="l"/>
        <c:majorGridlines>
          <c:spPr>
            <a:ln w="6757" cap="flat" cmpd="sng" algn="ctr">
              <a:solidFill>
                <a:schemeClr val="accent1">
                  <a:shade val="95000"/>
                  <a:satMod val="105000"/>
                </a:schemeClr>
              </a:solidFill>
              <a:prstDash val="solid"/>
            </a:ln>
            <a:effectLst/>
          </c:spPr>
        </c:majorGridlines>
        <c:numFmt formatCode="General" sourceLinked="1"/>
        <c:majorTickMark val="out"/>
        <c:minorTickMark val="none"/>
        <c:tickLblPos val="nextTo"/>
        <c:spPr>
          <a:noFill/>
          <a:ln w="6757" cap="flat" cmpd="sng" algn="ctr">
            <a:solidFill>
              <a:schemeClr val="accent2">
                <a:shade val="95000"/>
                <a:satMod val="105000"/>
              </a:schemeClr>
            </a:solidFill>
            <a:prstDash val="solid"/>
          </a:ln>
          <a:effectLst/>
        </c:spPr>
        <c:txPr>
          <a:bodyPr/>
          <a:lstStyle/>
          <a:p>
            <a:pPr>
              <a:defRPr>
                <a:solidFill>
                  <a:schemeClr val="tx1"/>
                </a:solidFill>
                <a:latin typeface="+mn-lt"/>
                <a:ea typeface="+mn-ea"/>
                <a:cs typeface="+mn-cs"/>
              </a:defRPr>
            </a:pPr>
            <a:endParaRPr lang="ru-RU"/>
          </a:p>
        </c:txPr>
        <c:crossAx val="149902464"/>
        <c:crosses val="autoZero"/>
        <c:crossBetween val="between"/>
      </c:valAx>
    </c:plotArea>
    <c:plotVisOnly val="1"/>
    <c:dispBlanksAs val="gap"/>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93" b="1" i="0" u="none" strike="noStrike" kern="1200" baseline="0">
                <a:solidFill>
                  <a:sysClr val="windowText" lastClr="000000"/>
                </a:solidFill>
                <a:latin typeface="Palatino Linotype" pitchFamily="18" charset="0"/>
                <a:ea typeface="+mn-ea"/>
                <a:cs typeface="+mn-cs"/>
              </a:defRPr>
            </a:pPr>
            <a:r>
              <a:rPr lang="ru-RU" sz="800" b="1" i="0" u="none" strike="noStrike" baseline="0">
                <a:solidFill>
                  <a:srgbClr val="006600"/>
                </a:solidFill>
                <a:effectLst/>
              </a:rPr>
              <a:t>Структура кредитного портфеля</a:t>
            </a:r>
            <a:endParaRPr lang="en-US" sz="800" b="1" i="0" u="none" strike="noStrike" baseline="0">
              <a:solidFill>
                <a:srgbClr val="006600"/>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1093" b="1" i="0" u="none" strike="noStrike" kern="1200" baseline="0">
                <a:solidFill>
                  <a:sysClr val="windowText" lastClr="000000"/>
                </a:solidFill>
                <a:latin typeface="Palatino Linotype" pitchFamily="18" charset="0"/>
                <a:ea typeface="+mn-ea"/>
                <a:cs typeface="+mn-cs"/>
              </a:defRPr>
            </a:pPr>
            <a:r>
              <a:rPr lang="en-US" sz="800">
                <a:solidFill>
                  <a:srgbClr val="7030A0"/>
                </a:solidFill>
                <a:effectLst/>
              </a:rPr>
              <a:t>Credit portfolio structure</a:t>
            </a:r>
            <a:endParaRPr lang="ru-RU" sz="800">
              <a:solidFill>
                <a:srgbClr val="7030A0"/>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1093" b="1" i="0" u="none" strike="noStrike" kern="1200" baseline="0">
                <a:solidFill>
                  <a:sysClr val="windowText" lastClr="000000"/>
                </a:solidFill>
                <a:latin typeface="Palatino Linotype" pitchFamily="18" charset="0"/>
                <a:ea typeface="+mn-ea"/>
                <a:cs typeface="+mn-cs"/>
              </a:defRPr>
            </a:pPr>
            <a:endParaRPr lang="ru-RU" sz="1200"/>
          </a:p>
        </c:rich>
      </c:tx>
      <c:overlay val="0"/>
      <c:spPr>
        <a:noFill/>
        <a:ln w="23135">
          <a:noFill/>
        </a:ln>
      </c:spPr>
    </c:title>
    <c:autoTitleDeleted val="0"/>
    <c:view3D>
      <c:rotX val="30"/>
      <c:rotY val="120"/>
      <c:rAngAx val="0"/>
      <c:perspective val="30"/>
    </c:view3D>
    <c:floor>
      <c:thickness val="0"/>
    </c:floor>
    <c:sideWall>
      <c:thickness val="0"/>
    </c:sideWall>
    <c:backWall>
      <c:thickness val="0"/>
    </c:backWall>
    <c:plotArea>
      <c:layout>
        <c:manualLayout>
          <c:layoutTarget val="inner"/>
          <c:xMode val="edge"/>
          <c:yMode val="edge"/>
          <c:x val="1.1988184498591601E-2"/>
          <c:y val="0.27213041615576666"/>
          <c:w val="0.62005856364830225"/>
          <c:h val="0.47758490789026598"/>
        </c:manualLayout>
      </c:layout>
      <c:pie3DChart>
        <c:varyColors val="1"/>
        <c:ser>
          <c:idx val="0"/>
          <c:order val="0"/>
          <c:tx>
            <c:strRef>
              <c:f>Лист1!$B$1</c:f>
              <c:strCache>
                <c:ptCount val="1"/>
                <c:pt idx="0">
                  <c:v>Продажи</c:v>
                </c:pt>
              </c:strCache>
            </c:strRef>
          </c:tx>
          <c:explosion val="25"/>
          <c:dLbls>
            <c:dLbl>
              <c:idx val="1"/>
              <c:layout>
                <c:manualLayout>
                  <c:x val="9.1979902775675221E-2"/>
                  <c:y val="-0.16437333938348697"/>
                </c:manualLayout>
              </c:layout>
              <c:numFmt formatCode="0.0%" sourceLinked="0"/>
              <c:spPr>
                <a:noFill/>
                <a:ln w="23135">
                  <a:noFill/>
                </a:ln>
              </c:spPr>
              <c:txPr>
                <a:bodyPr/>
                <a:lstStyle/>
                <a:p>
                  <a:pPr>
                    <a:defRPr sz="820" b="1">
                      <a:solidFill>
                        <a:schemeClr val="bg1"/>
                      </a:solidFill>
                    </a:defRPr>
                  </a:pPr>
                  <a:endParaRPr lang="ru-RU"/>
                </a:p>
              </c:txPr>
              <c:dLblPos val="bestFit"/>
              <c:showLegendKey val="0"/>
              <c:showVal val="0"/>
              <c:showCatName val="0"/>
              <c:showSerName val="0"/>
              <c:showPercent val="1"/>
              <c:showBubbleSize val="0"/>
            </c:dLbl>
            <c:dLbl>
              <c:idx val="3"/>
              <c:layout>
                <c:manualLayout>
                  <c:x val="-2.1877754667459053E-2"/>
                  <c:y val="-8.320502688093364E-3"/>
                </c:manualLayout>
              </c:layout>
              <c:dLblPos val="bestFit"/>
              <c:showLegendKey val="0"/>
              <c:showVal val="0"/>
              <c:showCatName val="0"/>
              <c:showSerName val="0"/>
              <c:showPercent val="1"/>
              <c:showBubbleSize val="0"/>
            </c:dLbl>
            <c:dLbl>
              <c:idx val="4"/>
              <c:layout>
                <c:manualLayout>
                  <c:x val="-5.6105549690960557E-2"/>
                  <c:y val="7.7361613074949237E-2"/>
                </c:manualLayout>
              </c:layout>
              <c:numFmt formatCode="0.0%" sourceLinked="0"/>
              <c:spPr>
                <a:noFill/>
                <a:ln w="23135">
                  <a:noFill/>
                </a:ln>
              </c:spPr>
              <c:txPr>
                <a:bodyPr/>
                <a:lstStyle/>
                <a:p>
                  <a:pPr>
                    <a:defRPr sz="820" b="1">
                      <a:solidFill>
                        <a:sysClr val="windowText" lastClr="000000"/>
                      </a:solidFill>
                    </a:defRPr>
                  </a:pPr>
                  <a:endParaRPr lang="ru-RU"/>
                </a:p>
              </c:txPr>
              <c:dLblPos val="bestFit"/>
              <c:showLegendKey val="0"/>
              <c:showVal val="0"/>
              <c:showCatName val="0"/>
              <c:showSerName val="0"/>
              <c:showPercent val="1"/>
              <c:showBubbleSize val="0"/>
            </c:dLbl>
            <c:dLbl>
              <c:idx val="5"/>
              <c:layout>
                <c:manualLayout>
                  <c:x val="2.078797011841178E-2"/>
                  <c:y val="-0.14896287722619361"/>
                </c:manualLayout>
              </c:layout>
              <c:dLblPos val="bestFit"/>
              <c:showLegendKey val="0"/>
              <c:showVal val="0"/>
              <c:showCatName val="0"/>
              <c:showSerName val="0"/>
              <c:showPercent val="1"/>
              <c:showBubbleSize val="0"/>
            </c:dLbl>
            <c:dLbl>
              <c:idx val="6"/>
              <c:layout>
                <c:manualLayout>
                  <c:x val="-5.3835466551633827E-2"/>
                  <c:y val="-8.2360966110277045E-2"/>
                </c:manualLayout>
              </c:layout>
              <c:numFmt formatCode="0.0%" sourceLinked="0"/>
              <c:spPr>
                <a:noFill/>
                <a:ln w="23135">
                  <a:noFill/>
                </a:ln>
              </c:spPr>
              <c:txPr>
                <a:bodyPr/>
                <a:lstStyle/>
                <a:p>
                  <a:pPr>
                    <a:defRPr sz="820" b="1">
                      <a:solidFill>
                        <a:schemeClr val="bg1"/>
                      </a:solidFill>
                    </a:defRPr>
                  </a:pPr>
                  <a:endParaRPr lang="ru-RU"/>
                </a:p>
              </c:txPr>
              <c:dLblPos val="bestFit"/>
              <c:showLegendKey val="0"/>
              <c:showVal val="0"/>
              <c:showCatName val="0"/>
              <c:showSerName val="0"/>
              <c:showPercent val="1"/>
              <c:showBubbleSize val="0"/>
            </c:dLbl>
            <c:numFmt formatCode="0.0%" sourceLinked="0"/>
            <c:spPr>
              <a:noFill/>
              <a:ln w="23135">
                <a:noFill/>
              </a:ln>
            </c:spPr>
            <c:txPr>
              <a:bodyPr/>
              <a:lstStyle/>
              <a:p>
                <a:pPr>
                  <a:defRPr sz="820" b="1"/>
                </a:pPr>
                <a:endParaRPr lang="ru-RU"/>
              </a:p>
            </c:txPr>
            <c:showLegendKey val="0"/>
            <c:showVal val="0"/>
            <c:showCatName val="0"/>
            <c:showSerName val="0"/>
            <c:showPercent val="1"/>
            <c:showBubbleSize val="0"/>
            <c:showLeaderLines val="1"/>
          </c:dLbls>
          <c:cat>
            <c:strRef>
              <c:f>Лист1!$A$2:$A$8</c:f>
              <c:strCache>
                <c:ptCount val="7"/>
                <c:pt idx="0">
                  <c:v>Промышленность                       Industry</c:v>
                </c:pt>
                <c:pt idx="1">
                  <c:v>Сельское хозяйство                                         Agriculture</c:v>
                </c:pt>
                <c:pt idx="2">
                  <c:v>Строительство                                                   Construction</c:v>
                </c:pt>
                <c:pt idx="3">
                  <c:v>Потребительский сектор                                        Consumer sector</c:v>
                </c:pt>
                <c:pt idx="4">
                  <c:v>Торговля                                                                                       Trade</c:v>
                </c:pt>
                <c:pt idx="5">
                  <c:v>Обшественное питание и услуги                                                
Food and services
</c:v>
                </c:pt>
                <c:pt idx="6">
                  <c:v>Прочие                                              Other</c:v>
                </c:pt>
              </c:strCache>
            </c:strRef>
          </c:cat>
          <c:val>
            <c:numRef>
              <c:f>Лист1!$B$2:$B$8</c:f>
              <c:numCache>
                <c:formatCode>_-* #,##0_р_._-;\-* #,##0_р_._-;_-* "-"??_р_._-;_-@_-</c:formatCode>
                <c:ptCount val="7"/>
                <c:pt idx="0">
                  <c:v>3848</c:v>
                </c:pt>
                <c:pt idx="1">
                  <c:v>115326</c:v>
                </c:pt>
                <c:pt idx="2">
                  <c:v>3092</c:v>
                </c:pt>
                <c:pt idx="3">
                  <c:v>22745</c:v>
                </c:pt>
                <c:pt idx="4">
                  <c:v>80281</c:v>
                </c:pt>
                <c:pt idx="5">
                  <c:v>516</c:v>
                </c:pt>
                <c:pt idx="6">
                  <c:v>20202</c:v>
                </c:pt>
              </c:numCache>
            </c:numRef>
          </c:val>
        </c:ser>
        <c:dLbls>
          <c:showLegendKey val="0"/>
          <c:showVal val="0"/>
          <c:showCatName val="0"/>
          <c:showSerName val="0"/>
          <c:showPercent val="0"/>
          <c:showBubbleSize val="0"/>
          <c:showLeaderLines val="1"/>
        </c:dLbls>
      </c:pie3DChart>
      <c:spPr>
        <a:noFill/>
        <a:ln w="23135">
          <a:noFill/>
        </a:ln>
      </c:spPr>
    </c:plotArea>
    <c:legend>
      <c:legendPos val="r"/>
      <c:layout>
        <c:manualLayout>
          <c:xMode val="edge"/>
          <c:yMode val="edge"/>
          <c:x val="0.6485868297100732"/>
          <c:y val="9.1946048957763954E-2"/>
          <c:w val="0.33336022496590695"/>
          <c:h val="0.83433514056521552"/>
        </c:manualLayout>
      </c:layout>
      <c:overlay val="0"/>
      <c:txPr>
        <a:bodyPr/>
        <a:lstStyle/>
        <a:p>
          <a:pPr>
            <a:defRPr sz="900"/>
          </a:pPr>
          <a:endParaRPr lang="ru-RU"/>
        </a:p>
      </c:txPr>
    </c:legend>
    <c:plotVisOnly val="1"/>
    <c:dispBlanksAs val="zero"/>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Уровень образования персонала                                     </a:t>
            </a:r>
            <a:r>
              <a:rPr lang="en-US" sz="1200"/>
              <a:t>Education level of personnel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образования персонала Education level of personnel</c:v>
                </c:pt>
              </c:strCache>
            </c:strRef>
          </c:tx>
          <c:explosion val="25"/>
          <c:dLbls>
            <c:dLbl>
              <c:idx val="0"/>
              <c:layout>
                <c:manualLayout>
                  <c:x val="5.9824646620828495E-4"/>
                  <c:y val="-2.0400395311185215E-2"/>
                </c:manualLayout>
              </c:layout>
              <c:showLegendKey val="0"/>
              <c:showVal val="1"/>
              <c:showCatName val="0"/>
              <c:showSerName val="0"/>
              <c:showPercent val="0"/>
              <c:showBubbleSize val="0"/>
            </c:dLbl>
            <c:dLbl>
              <c:idx val="1"/>
              <c:spPr/>
              <c:txPr>
                <a:bodyPr/>
                <a:lstStyle/>
                <a:p>
                  <a:pPr>
                    <a:defRPr b="1">
                      <a:solidFill>
                        <a:schemeClr val="bg1"/>
                      </a:solidFill>
                    </a:defRPr>
                  </a:pPr>
                  <a:endParaRPr lang="ru-RU"/>
                </a:p>
              </c:txPr>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1"/>
          </c:dLbls>
          <c:cat>
            <c:strRef>
              <c:f>Лист1!$A$2:$A$4</c:f>
              <c:strCache>
                <c:ptCount val="3"/>
                <c:pt idx="0">
                  <c:v>Среднее                        secondary school</c:v>
                </c:pt>
                <c:pt idx="1">
                  <c:v>Среднее-спец. Обр.     vocational school</c:v>
                </c:pt>
                <c:pt idx="2">
                  <c:v>Высшее      Higher education</c:v>
                </c:pt>
              </c:strCache>
            </c:strRef>
          </c:cat>
          <c:val>
            <c:numRef>
              <c:f>Лист1!$B$2:$B$4</c:f>
              <c:numCache>
                <c:formatCode>0.0%</c:formatCode>
                <c:ptCount val="3"/>
                <c:pt idx="0">
                  <c:v>9.7000000000000003E-2</c:v>
                </c:pt>
                <c:pt idx="1">
                  <c:v>0.27300000000000002</c:v>
                </c:pt>
                <c:pt idx="2">
                  <c:v>0.63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a:latin typeface="Palatino Linotype"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32" b="1" i="0" u="none" strike="noStrike" kern="1200" baseline="0">
                <a:solidFill>
                  <a:sysClr val="windowText" lastClr="000000"/>
                </a:solidFill>
                <a:latin typeface="Palatino Linotype" pitchFamily="18" charset="0"/>
                <a:ea typeface="+mn-ea"/>
                <a:cs typeface="+mn-cs"/>
              </a:defRPr>
            </a:pPr>
            <a:r>
              <a:rPr lang="tg-Cyrl-TJ" sz="1000"/>
              <a:t>Благотворительная и спонсорская деятельность ГСБ РТ “Амонатбонк”     </a:t>
            </a:r>
          </a:p>
          <a:p>
            <a:pPr marL="0" marR="0" indent="0" algn="ctr" defTabSz="914400" rtl="0" eaLnBrk="1" fontAlgn="auto" latinLnBrk="0" hangingPunct="1">
              <a:lnSpc>
                <a:spcPct val="100000"/>
              </a:lnSpc>
              <a:spcBef>
                <a:spcPts val="0"/>
              </a:spcBef>
              <a:spcAft>
                <a:spcPts val="0"/>
              </a:spcAft>
              <a:buClrTx/>
              <a:buSzTx/>
              <a:buFontTx/>
              <a:buNone/>
              <a:tabLst/>
              <a:defRPr sz="1032" b="1" i="0" u="none" strike="noStrike" kern="1200" baseline="0">
                <a:solidFill>
                  <a:sysClr val="windowText" lastClr="000000"/>
                </a:solidFill>
                <a:latin typeface="Palatino Linotype" pitchFamily="18" charset="0"/>
                <a:ea typeface="+mn-ea"/>
                <a:cs typeface="+mn-cs"/>
              </a:defRPr>
            </a:pPr>
            <a:r>
              <a:rPr lang="en-US" sz="1000">
                <a:effectLst/>
              </a:rPr>
              <a:t>Charity and sponsorship activities of SSB RT “Amonatbonk”</a:t>
            </a:r>
            <a:endParaRPr lang="ru-RU"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32" b="1" i="0" u="none" strike="noStrike" kern="1200" baseline="0">
                <a:solidFill>
                  <a:sysClr val="windowText" lastClr="000000"/>
                </a:solidFill>
                <a:latin typeface="Palatino Linotype" pitchFamily="18" charset="0"/>
                <a:ea typeface="+mn-ea"/>
                <a:cs typeface="+mn-cs"/>
              </a:defRPr>
            </a:pPr>
            <a:endParaRPr lang="ru-RU" sz="1400"/>
          </a:p>
        </c:rich>
      </c:tx>
      <c:overlay val="0"/>
      <c:spPr>
        <a:noFill/>
        <a:ln w="18720">
          <a:noFill/>
        </a:ln>
      </c:spPr>
    </c:title>
    <c:autoTitleDeleted val="0"/>
    <c:plotArea>
      <c:layout>
        <c:manualLayout>
          <c:layoutTarget val="inner"/>
          <c:xMode val="edge"/>
          <c:yMode val="edge"/>
          <c:x val="0.10277737091715364"/>
          <c:y val="0.37695513439158224"/>
          <c:w val="0.86904870374205145"/>
          <c:h val="0.49603240024317963"/>
        </c:manualLayout>
      </c:layout>
      <c:lineChart>
        <c:grouping val="standard"/>
        <c:varyColors val="0"/>
        <c:ser>
          <c:idx val="0"/>
          <c:order val="0"/>
          <c:tx>
            <c:strRef>
              <c:f>Лист1!$B$1</c:f>
              <c:strCache>
                <c:ptCount val="1"/>
                <c:pt idx="0">
                  <c:v>Ряд 1</c:v>
                </c:pt>
              </c:strCache>
            </c:strRef>
          </c:tx>
          <c:dLbls>
            <c:dLbl>
              <c:idx val="0"/>
              <c:layout>
                <c:manualLayout>
                  <c:x val="-5.3601340033500804E-2"/>
                  <c:y val="-7.2186836518046776E-2"/>
                </c:manualLayout>
              </c:layout>
              <c:dLblPos val="r"/>
              <c:showLegendKey val="0"/>
              <c:showVal val="1"/>
              <c:showCatName val="0"/>
              <c:showSerName val="0"/>
              <c:showPercent val="0"/>
              <c:showBubbleSize val="0"/>
            </c:dLbl>
            <c:dLbl>
              <c:idx val="1"/>
              <c:layout>
                <c:manualLayout>
                  <c:x val="-6.25E-2"/>
                  <c:y val="-7.1428571428571425E-2"/>
                </c:manualLayout>
              </c:layout>
              <c:dLblPos val="r"/>
              <c:showLegendKey val="0"/>
              <c:showVal val="1"/>
              <c:showCatName val="0"/>
              <c:showSerName val="0"/>
              <c:showPercent val="0"/>
              <c:showBubbleSize val="0"/>
            </c:dLbl>
            <c:dLbl>
              <c:idx val="2"/>
              <c:layout>
                <c:manualLayout>
                  <c:x val="-4.1666666666666664E-2"/>
                  <c:y val="-6.3492063492063502E-2"/>
                </c:manualLayout>
              </c:layout>
              <c:dLblPos val="r"/>
              <c:showLegendKey val="0"/>
              <c:showVal val="1"/>
              <c:showCatName val="0"/>
              <c:showSerName val="0"/>
              <c:showPercent val="0"/>
              <c:showBubbleSize val="0"/>
            </c:dLbl>
            <c:spPr>
              <a:noFill/>
              <a:ln w="18720">
                <a:noFill/>
              </a:ln>
            </c:spPr>
            <c:txPr>
              <a:bodyPr/>
              <a:lstStyle/>
              <a:p>
                <a:pPr>
                  <a:defRPr b="1"/>
                </a:pPr>
                <a:endParaRPr lang="ru-RU"/>
              </a:p>
            </c:tx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General</c:formatCode>
                <c:ptCount val="3"/>
                <c:pt idx="0">
                  <c:v>70.099999999999994</c:v>
                </c:pt>
                <c:pt idx="1">
                  <c:v>1109.5</c:v>
                </c:pt>
                <c:pt idx="2">
                  <c:v>1342</c:v>
                </c:pt>
              </c:numCache>
            </c:numRef>
          </c:val>
          <c:smooth val="0"/>
        </c:ser>
        <c:dLbls>
          <c:showLegendKey val="0"/>
          <c:showVal val="0"/>
          <c:showCatName val="0"/>
          <c:showSerName val="0"/>
          <c:showPercent val="0"/>
          <c:showBubbleSize val="0"/>
        </c:dLbls>
        <c:marker val="1"/>
        <c:smooth val="0"/>
        <c:axId val="132925312"/>
        <c:axId val="132926848"/>
      </c:lineChart>
      <c:catAx>
        <c:axId val="132925312"/>
        <c:scaling>
          <c:orientation val="minMax"/>
        </c:scaling>
        <c:delete val="0"/>
        <c:axPos val="b"/>
        <c:numFmt formatCode="General" sourceLinked="1"/>
        <c:majorTickMark val="out"/>
        <c:minorTickMark val="none"/>
        <c:tickLblPos val="nextTo"/>
        <c:crossAx val="132926848"/>
        <c:crosses val="autoZero"/>
        <c:auto val="1"/>
        <c:lblAlgn val="ctr"/>
        <c:lblOffset val="100"/>
        <c:noMultiLvlLbl val="0"/>
      </c:catAx>
      <c:valAx>
        <c:axId val="132926848"/>
        <c:scaling>
          <c:orientation val="minMax"/>
        </c:scaling>
        <c:delete val="0"/>
        <c:axPos val="l"/>
        <c:majorGridlines/>
        <c:title>
          <c:tx>
            <c:rich>
              <a:bodyPr rot="0" vert="horz"/>
              <a:lstStyle/>
              <a:p>
                <a:pPr>
                  <a:defRPr sz="800"/>
                </a:pPr>
                <a:r>
                  <a:rPr lang="ru-RU" sz="800"/>
                  <a:t>тыс.сомони</a:t>
                </a:r>
              </a:p>
              <a:p>
                <a:pPr>
                  <a:defRPr sz="800"/>
                </a:pPr>
                <a:r>
                  <a:rPr lang="en-US" sz="800"/>
                  <a:t>thousand TJS</a:t>
                </a:r>
                <a:endParaRPr lang="ru-RU" sz="800"/>
              </a:p>
            </c:rich>
          </c:tx>
          <c:layout>
            <c:manualLayout>
              <c:xMode val="edge"/>
              <c:yMode val="edge"/>
              <c:x val="1.7959345617202509E-2"/>
              <c:y val="0.2471326400447299"/>
            </c:manualLayout>
          </c:layout>
          <c:overlay val="0"/>
        </c:title>
        <c:numFmt formatCode="General" sourceLinked="1"/>
        <c:majorTickMark val="out"/>
        <c:minorTickMark val="none"/>
        <c:tickLblPos val="nextTo"/>
        <c:crossAx val="132925312"/>
        <c:crosses val="autoZero"/>
        <c:crossBetween val="between"/>
      </c:valAx>
    </c:plotArea>
    <c:plotVisOnly val="1"/>
    <c:dispBlanksAs val="gap"/>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15">
                <a:solidFill>
                  <a:srgbClr val="008000"/>
                </a:solidFill>
              </a:defRPr>
            </a:pPr>
            <a:r>
              <a:rPr lang="ru-RU" sz="1010">
                <a:solidFill>
                  <a:srgbClr val="008000"/>
                </a:solidFill>
              </a:rPr>
              <a:t>Динамика депозитов</a:t>
            </a:r>
          </a:p>
          <a:p>
            <a:pPr>
              <a:defRPr sz="715">
                <a:solidFill>
                  <a:srgbClr val="008000"/>
                </a:solidFill>
              </a:defRPr>
            </a:pPr>
            <a:r>
              <a:rPr lang="en-US" sz="1010">
                <a:solidFill>
                  <a:srgbClr val="008000"/>
                </a:solidFill>
              </a:rPr>
              <a:t>Deposits</a:t>
            </a:r>
            <a:r>
              <a:rPr lang="en-US" sz="1010" baseline="0">
                <a:solidFill>
                  <a:srgbClr val="008000"/>
                </a:solidFill>
              </a:rPr>
              <a:t> dynamic</a:t>
            </a:r>
          </a:p>
        </c:rich>
      </c:tx>
      <c:overlay val="1"/>
      <c:spPr>
        <a:noFill/>
        <a:ln w="21380">
          <a:noFill/>
        </a:ln>
      </c:spPr>
    </c:title>
    <c:autoTitleDeleted val="0"/>
    <c:view3D>
      <c:rotX val="10"/>
      <c:rotY val="20"/>
      <c:depthPercent val="100"/>
      <c:rAngAx val="1"/>
    </c:view3D>
    <c:floor>
      <c:thickness val="0"/>
    </c:floor>
    <c:sideWall>
      <c:thickness val="0"/>
      <c:spPr>
        <a:blipFill>
          <a:blip xmlns:r="http://schemas.openxmlformats.org/officeDocument/2006/relationships" r:embed="rId2"/>
          <a:stretch>
            <a:fillRect/>
          </a:stretch>
        </a:blipFill>
      </c:spPr>
    </c:sideWall>
    <c:backWall>
      <c:thickness val="0"/>
      <c:spPr>
        <a:blipFill>
          <a:blip xmlns:r="http://schemas.openxmlformats.org/officeDocument/2006/relationships" r:embed="rId2"/>
          <a:stretch>
            <a:fillRect/>
          </a:stretch>
        </a:blipFill>
      </c:spPr>
      <c:pictureOptions>
        <c:pictureFormat val="stretch"/>
      </c:pictureOptions>
    </c:backWall>
    <c:plotArea>
      <c:layout>
        <c:manualLayout>
          <c:layoutTarget val="inner"/>
          <c:xMode val="edge"/>
          <c:yMode val="edge"/>
          <c:x val="0.12432542286380872"/>
          <c:y val="0.16304347826086971"/>
          <c:w val="0.85980898221055768"/>
          <c:h val="0.55597275395878787"/>
        </c:manualLayout>
      </c:layout>
      <c:bar3DChart>
        <c:barDir val="col"/>
        <c:grouping val="stacked"/>
        <c:varyColors val="0"/>
        <c:ser>
          <c:idx val="0"/>
          <c:order val="0"/>
          <c:tx>
            <c:strRef>
              <c:f>Лист1!$B$1</c:f>
              <c:strCache>
                <c:ptCount val="1"/>
                <c:pt idx="0">
                  <c:v>Депозиты корпоративных клиентов                                                        Corporated clients deposits</c:v>
                </c:pt>
              </c:strCache>
            </c:strRef>
          </c:tx>
          <c:spPr>
            <a:solidFill>
              <a:srgbClr val="0070C0"/>
            </a:solidFill>
          </c:spPr>
          <c:invertIfNegative val="0"/>
          <c:dLbls>
            <c:dLbl>
              <c:idx val="0"/>
              <c:layout>
                <c:manualLayout>
                  <c:x val="1.315448365174385E-2"/>
                  <c:y val="9.4871614670595938E-17"/>
                </c:manualLayout>
              </c:layout>
              <c:showLegendKey val="0"/>
              <c:showVal val="1"/>
              <c:showCatName val="0"/>
              <c:showSerName val="0"/>
              <c:showPercent val="0"/>
              <c:showBubbleSize val="0"/>
            </c:dLbl>
            <c:dLbl>
              <c:idx val="1"/>
              <c:layout>
                <c:manualLayout>
                  <c:x val="1.315448365174385E-2"/>
                  <c:y val="-9.4871614670595938E-17"/>
                </c:manualLayout>
              </c:layout>
              <c:showLegendKey val="0"/>
              <c:showVal val="1"/>
              <c:showCatName val="0"/>
              <c:showSerName val="0"/>
              <c:showPercent val="0"/>
              <c:showBubbleSize val="0"/>
            </c:dLbl>
            <c:dLbl>
              <c:idx val="2"/>
              <c:layout>
                <c:manualLayout>
                  <c:x val="1.1275271701494729E-2"/>
                  <c:y val="9.4871614670595938E-17"/>
                </c:manualLayout>
              </c:layout>
              <c:showLegendKey val="0"/>
              <c:showVal val="1"/>
              <c:showCatName val="0"/>
              <c:showSerName val="0"/>
              <c:showPercent val="0"/>
              <c:showBubbleSize val="0"/>
            </c:dLbl>
            <c:dLbl>
              <c:idx val="3"/>
              <c:layout>
                <c:manualLayout>
                  <c:x val="1.5033695601992973E-2"/>
                  <c:y val="0"/>
                </c:manualLayout>
              </c:layout>
              <c:showLegendKey val="0"/>
              <c:showVal val="1"/>
              <c:showCatName val="0"/>
              <c:showSerName val="0"/>
              <c:showPercent val="0"/>
              <c:showBubbleSize val="0"/>
            </c:dLbl>
            <c:dLbl>
              <c:idx val="4"/>
              <c:layout>
                <c:manualLayout>
                  <c:x val="1.1275271701494729E-2"/>
                  <c:y val="5.1748751255773114E-3"/>
                </c:manualLayout>
              </c:layout>
              <c:showLegendKey val="0"/>
              <c:showVal val="1"/>
              <c:showCatName val="0"/>
              <c:showSerName val="0"/>
              <c:showPercent val="0"/>
              <c:showBubbleSize val="0"/>
            </c:dLbl>
            <c:dLbl>
              <c:idx val="5"/>
              <c:layout>
                <c:manualLayout>
                  <c:x val="1.2481228344217235E-2"/>
                  <c:y val="-8.4462829155914857E-3"/>
                </c:manualLayout>
              </c:layout>
              <c:showLegendKey val="0"/>
              <c:showVal val="1"/>
              <c:showCatName val="0"/>
              <c:showSerName val="0"/>
              <c:showPercent val="0"/>
              <c:showBubbleSize val="0"/>
            </c:dLbl>
            <c:spPr>
              <a:noFill/>
              <a:ln w="21380">
                <a:noFill/>
              </a:ln>
            </c:spPr>
            <c:txPr>
              <a:bodyPr/>
              <a:lstStyle/>
              <a:p>
                <a:pPr>
                  <a:defRPr sz="1100" b="1">
                    <a:solidFill>
                      <a:srgbClr val="FFFF00"/>
                    </a:solidFill>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#,##0</c:formatCode>
                <c:ptCount val="3"/>
                <c:pt idx="0">
                  <c:v>272.8</c:v>
                </c:pt>
                <c:pt idx="1">
                  <c:v>430.7</c:v>
                </c:pt>
                <c:pt idx="2">
                  <c:v>420.8</c:v>
                </c:pt>
              </c:numCache>
            </c:numRef>
          </c:val>
        </c:ser>
        <c:ser>
          <c:idx val="1"/>
          <c:order val="1"/>
          <c:tx>
            <c:strRef>
              <c:f>Лист1!$C$1</c:f>
              <c:strCache>
                <c:ptCount val="1"/>
                <c:pt idx="0">
                  <c:v>Вклады населения                                                                        Populations deposits</c:v>
                </c:pt>
              </c:strCache>
            </c:strRef>
          </c:tx>
          <c:invertIfNegative val="0"/>
          <c:dLbls>
            <c:dLbl>
              <c:idx val="0"/>
              <c:layout>
                <c:manualLayout>
                  <c:x val="1.1213716412415711E-2"/>
                  <c:y val="0"/>
                </c:manualLayout>
              </c:layout>
              <c:showLegendKey val="0"/>
              <c:showVal val="1"/>
              <c:showCatName val="0"/>
              <c:showSerName val="0"/>
              <c:showPercent val="0"/>
              <c:showBubbleSize val="0"/>
            </c:dLbl>
            <c:dLbl>
              <c:idx val="1"/>
              <c:layout>
                <c:manualLayout>
                  <c:x val="1.2493356171923908E-2"/>
                  <c:y val="-4.0747048223405096E-7"/>
                </c:manualLayout>
              </c:layout>
              <c:showLegendKey val="0"/>
              <c:showVal val="1"/>
              <c:showCatName val="0"/>
              <c:showSerName val="0"/>
              <c:showPercent val="0"/>
              <c:showBubbleSize val="0"/>
            </c:dLbl>
            <c:dLbl>
              <c:idx val="2"/>
              <c:layout>
                <c:manualLayout>
                  <c:x val="1.5722049459674779E-2"/>
                  <c:y val="0"/>
                </c:manualLayout>
              </c:layout>
              <c:showLegendKey val="0"/>
              <c:showVal val="1"/>
              <c:showCatName val="0"/>
              <c:showSerName val="0"/>
              <c:showPercent val="0"/>
              <c:showBubbleSize val="0"/>
            </c:dLbl>
            <c:dLbl>
              <c:idx val="3"/>
              <c:layout>
                <c:manualLayout>
                  <c:x val="1.3349359410679143E-2"/>
                  <c:y val="7.7623126883659679E-3"/>
                </c:manualLayout>
              </c:layout>
              <c:showLegendKey val="0"/>
              <c:showVal val="1"/>
              <c:showCatName val="0"/>
              <c:showSerName val="0"/>
              <c:showPercent val="0"/>
              <c:showBubbleSize val="0"/>
            </c:dLbl>
            <c:dLbl>
              <c:idx val="4"/>
              <c:layout>
                <c:manualLayout>
                  <c:x val="1.3055640062549638E-2"/>
                  <c:y val="2.5872338275474485E-3"/>
                </c:manualLayout>
              </c:layout>
              <c:showLegendKey val="0"/>
              <c:showVal val="1"/>
              <c:showCatName val="0"/>
              <c:showSerName val="0"/>
              <c:showPercent val="0"/>
              <c:showBubbleSize val="0"/>
            </c:dLbl>
            <c:dLbl>
              <c:idx val="5"/>
              <c:layout>
                <c:manualLayout>
                  <c:x val="1.5979516293803401E-2"/>
                  <c:y val="-4.1947048803350866E-3"/>
                </c:manualLayout>
              </c:layout>
              <c:showLegendKey val="0"/>
              <c:showVal val="1"/>
              <c:showCatName val="0"/>
              <c:showSerName val="0"/>
              <c:showPercent val="0"/>
              <c:showBubbleSize val="0"/>
            </c:dLbl>
            <c:dLbl>
              <c:idx val="6"/>
              <c:layout>
                <c:manualLayout>
                  <c:x val="1.8248175182481882E-2"/>
                  <c:y val="-4.1946308724832215E-3"/>
                </c:manualLayout>
              </c:layout>
              <c:showLegendKey val="0"/>
              <c:showVal val="1"/>
              <c:showCatName val="0"/>
              <c:showSerName val="0"/>
              <c:showPercent val="0"/>
              <c:showBubbleSize val="0"/>
            </c:dLbl>
            <c:dLbl>
              <c:idx val="7"/>
              <c:layout>
                <c:manualLayout>
                  <c:x val="2.7372262773722671E-2"/>
                  <c:y val="-1.2583892617449665E-2"/>
                </c:manualLayout>
              </c:layout>
              <c:showLegendKey val="0"/>
              <c:showVal val="1"/>
              <c:showCatName val="0"/>
              <c:showSerName val="0"/>
              <c:showPercent val="0"/>
              <c:showBubbleSize val="0"/>
            </c:dLbl>
            <c:spPr>
              <a:noFill/>
              <a:ln w="21380">
                <a:noFill/>
              </a:ln>
            </c:spPr>
            <c:txPr>
              <a:bodyPr/>
              <a:lstStyle/>
              <a:p>
                <a:pPr>
                  <a:defRPr sz="1100" b="1"/>
                </a:pPr>
                <a:endParaRPr lang="ru-RU"/>
              </a:p>
            </c:tx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Лист1!$C$2:$C$4</c:f>
              <c:numCache>
                <c:formatCode>#,##0</c:formatCode>
                <c:ptCount val="3"/>
                <c:pt idx="0">
                  <c:v>150</c:v>
                </c:pt>
                <c:pt idx="1">
                  <c:v>194.9</c:v>
                </c:pt>
                <c:pt idx="2">
                  <c:v>347.1</c:v>
                </c:pt>
              </c:numCache>
            </c:numRef>
          </c:val>
        </c:ser>
        <c:dLbls>
          <c:showLegendKey val="0"/>
          <c:showVal val="0"/>
          <c:showCatName val="0"/>
          <c:showSerName val="0"/>
          <c:showPercent val="0"/>
          <c:showBubbleSize val="0"/>
        </c:dLbls>
        <c:gapWidth val="80"/>
        <c:gapDepth val="110"/>
        <c:shape val="cylinder"/>
        <c:axId val="132719360"/>
        <c:axId val="132720896"/>
        <c:axId val="0"/>
      </c:bar3DChart>
      <c:catAx>
        <c:axId val="132719360"/>
        <c:scaling>
          <c:orientation val="minMax"/>
        </c:scaling>
        <c:delete val="0"/>
        <c:axPos val="b"/>
        <c:numFmt formatCode="General" sourceLinked="1"/>
        <c:majorTickMark val="out"/>
        <c:minorTickMark val="none"/>
        <c:tickLblPos val="nextTo"/>
        <c:crossAx val="132720896"/>
        <c:crosses val="autoZero"/>
        <c:auto val="1"/>
        <c:lblAlgn val="ctr"/>
        <c:lblOffset val="100"/>
        <c:noMultiLvlLbl val="0"/>
      </c:catAx>
      <c:valAx>
        <c:axId val="132720896"/>
        <c:scaling>
          <c:orientation val="minMax"/>
        </c:scaling>
        <c:delete val="0"/>
        <c:axPos val="l"/>
        <c:title>
          <c:tx>
            <c:rich>
              <a:bodyPr rot="0" vert="horz"/>
              <a:lstStyle/>
              <a:p>
                <a:pPr>
                  <a:defRPr sz="800"/>
                </a:pPr>
                <a:r>
                  <a:rPr lang="ru-RU" sz="800" b="1" i="0" baseline="0">
                    <a:effectLst/>
                  </a:rPr>
                  <a:t>(млн. сомони)</a:t>
                </a:r>
              </a:p>
              <a:p>
                <a:pPr>
                  <a:defRPr sz="800"/>
                </a:pPr>
                <a:r>
                  <a:rPr lang="ru-RU" sz="800" b="1" i="0" baseline="0">
                    <a:effectLst/>
                  </a:rPr>
                  <a:t>(</a:t>
                </a:r>
                <a:r>
                  <a:rPr lang="en-US" sz="800" b="1" i="0" baseline="0">
                    <a:effectLst/>
                  </a:rPr>
                  <a:t>million TJS</a:t>
                </a:r>
                <a:r>
                  <a:rPr lang="ru-RU" sz="800" b="1" i="0" baseline="0">
                    <a:effectLst/>
                  </a:rPr>
                  <a:t>)</a:t>
                </a:r>
                <a:endParaRPr lang="ru-RU" sz="800">
                  <a:effectLst/>
                </a:endParaRPr>
              </a:p>
            </c:rich>
          </c:tx>
          <c:layout>
            <c:manualLayout>
              <c:xMode val="edge"/>
              <c:yMode val="edge"/>
              <c:x val="3.6611670256243088E-2"/>
              <c:y val="0.1147915679594492"/>
            </c:manualLayout>
          </c:layout>
          <c:overlay val="0"/>
        </c:title>
        <c:numFmt formatCode="#,##0" sourceLinked="1"/>
        <c:majorTickMark val="out"/>
        <c:minorTickMark val="none"/>
        <c:tickLblPos val="nextTo"/>
        <c:crossAx val="132719360"/>
        <c:crosses val="autoZero"/>
        <c:crossBetween val="between"/>
      </c:valAx>
      <c:spPr>
        <a:noFill/>
        <a:ln w="21380">
          <a:noFill/>
        </a:ln>
      </c:spPr>
    </c:plotArea>
    <c:legend>
      <c:legendPos val="r"/>
      <c:layout>
        <c:manualLayout>
          <c:xMode val="edge"/>
          <c:yMode val="edge"/>
          <c:x val="2.615300155974765E-2"/>
          <c:y val="0.80230610142213599"/>
          <c:w val="0.70679072256088049"/>
          <c:h val="0.19766953199617954"/>
        </c:manualLayout>
      </c:layout>
      <c:overlay val="0"/>
      <c:txPr>
        <a:bodyPr/>
        <a:lstStyle/>
        <a:p>
          <a:pPr>
            <a:defRPr sz="1000" b="1">
              <a:solidFill>
                <a:srgbClr val="008000"/>
              </a:solidFill>
            </a:defRPr>
          </a:pPr>
          <a:endParaRPr lang="ru-RU"/>
        </a:p>
      </c:txPr>
    </c:legend>
    <c:plotVisOnly val="1"/>
    <c:dispBlanksAs val="gap"/>
    <c:showDLblsOverMax val="0"/>
  </c:chart>
  <c:spPr>
    <a:ln>
      <a:noFill/>
    </a:ln>
  </c:spPr>
  <c:txPr>
    <a:bodyPr/>
    <a:lstStyle/>
    <a:p>
      <a:pPr>
        <a:defRPr>
          <a:latin typeface="Palatino Linotype" pitchFamily="18" charset="0"/>
        </a:defRPr>
      </a:pPr>
      <a:endParaRPr lang="ru-R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13">
                <a:solidFill>
                  <a:srgbClr val="006600"/>
                </a:solidFill>
              </a:defRPr>
            </a:pPr>
            <a:r>
              <a:rPr lang="ru-RU"/>
              <a:t>Структура обязательств (%)                                                                           </a:t>
            </a:r>
            <a:r>
              <a:rPr lang="en-US">
                <a:solidFill>
                  <a:schemeClr val="accent4"/>
                </a:solidFill>
              </a:rPr>
              <a:t>liabilities structure</a:t>
            </a:r>
          </a:p>
        </c:rich>
      </c:tx>
      <c:overlay val="0"/>
      <c:spPr>
        <a:noFill/>
        <a:ln w="21441">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обязательств (%)                                                                           liabilities structure</c:v>
                </c:pt>
              </c:strCache>
            </c:strRef>
          </c:tx>
          <c:explosion val="25"/>
          <c:dLbls>
            <c:dLbl>
              <c:idx val="0"/>
              <c:layout>
                <c:manualLayout>
                  <c:x val="2.9261592300962392E-3"/>
                  <c:y val="1.361134327482808E-2"/>
                </c:manualLayout>
              </c:layout>
              <c:dLblPos val="bestFit"/>
              <c:showLegendKey val="0"/>
              <c:showVal val="0"/>
              <c:showCatName val="0"/>
              <c:showSerName val="0"/>
              <c:showPercent val="1"/>
              <c:showBubbleSize val="0"/>
            </c:dLbl>
            <c:dLbl>
              <c:idx val="1"/>
              <c:layout>
                <c:manualLayout>
                  <c:x val="-3.2912335958005252E-2"/>
                  <c:y val="-2.1023768676960175E-3"/>
                </c:manualLayout>
              </c:layout>
              <c:dLblPos val="bestFit"/>
              <c:showLegendKey val="0"/>
              <c:showVal val="0"/>
              <c:showCatName val="0"/>
              <c:showSerName val="0"/>
              <c:showPercent val="1"/>
              <c:showBubbleSize val="0"/>
            </c:dLbl>
            <c:dLbl>
              <c:idx val="2"/>
              <c:layout>
                <c:manualLayout>
                  <c:x val="7.5162729658792889E-3"/>
                  <c:y val="-3.245795392894337E-3"/>
                </c:manualLayout>
              </c:layout>
              <c:dLblPos val="bestFit"/>
              <c:showLegendKey val="0"/>
              <c:showVal val="0"/>
              <c:showCatName val="0"/>
              <c:showSerName val="0"/>
              <c:showPercent val="1"/>
              <c:showBubbleSize val="0"/>
            </c:dLbl>
            <c:dLbl>
              <c:idx val="3"/>
              <c:layout>
                <c:manualLayout>
                  <c:x val="3.3070866141732283E-2"/>
                  <c:y val="-1.8992653851229491E-2"/>
                </c:manualLayout>
              </c:layout>
              <c:dLblPos val="bestFit"/>
              <c:showLegendKey val="0"/>
              <c:showVal val="0"/>
              <c:showCatName val="0"/>
              <c:showSerName val="0"/>
              <c:showPercent val="1"/>
              <c:showBubbleSize val="0"/>
            </c:dLbl>
            <c:dLbl>
              <c:idx val="4"/>
              <c:layout>
                <c:manualLayout>
                  <c:x val="2.42997375328084E-2"/>
                  <c:y val="-3.1950615111658545E-2"/>
                </c:manualLayout>
              </c:layout>
              <c:dLblPos val="bestFit"/>
              <c:showLegendKey val="0"/>
              <c:showVal val="0"/>
              <c:showCatName val="0"/>
              <c:showSerName val="0"/>
              <c:showPercent val="1"/>
              <c:showBubbleSize val="0"/>
            </c:dLbl>
            <c:spPr>
              <a:noFill/>
              <a:ln w="21441">
                <a:noFill/>
              </a:ln>
            </c:spPr>
            <c:txPr>
              <a:bodyPr/>
              <a:lstStyle/>
              <a:p>
                <a:pPr>
                  <a:defRPr sz="929"/>
                </a:pPr>
                <a:endParaRPr lang="ru-RU"/>
              </a:p>
            </c:txPr>
            <c:showLegendKey val="0"/>
            <c:showVal val="0"/>
            <c:showCatName val="0"/>
            <c:showSerName val="0"/>
            <c:showPercent val="1"/>
            <c:showBubbleSize val="0"/>
            <c:showLeaderLines val="1"/>
          </c:dLbls>
          <c:cat>
            <c:strRef>
              <c:f>Лист1!$A$2:$A$5</c:f>
              <c:strCache>
                <c:ptCount val="4"/>
                <c:pt idx="0">
                  <c:v>Средства клиентов                      Due to customers</c:v>
                </c:pt>
                <c:pt idx="1">
                  <c:v>Средства банков                            Due to banks</c:v>
                </c:pt>
                <c:pt idx="2">
                  <c:v>Инвеститции                                   Investments</c:v>
                </c:pt>
                <c:pt idx="3">
                  <c:v>Прочие обязателства                  Оther commitments</c:v>
                </c:pt>
              </c:strCache>
            </c:strRef>
          </c:cat>
          <c:val>
            <c:numRef>
              <c:f>Лист1!$B$2:$B$5</c:f>
              <c:numCache>
                <c:formatCode>0</c:formatCode>
                <c:ptCount val="4"/>
                <c:pt idx="0">
                  <c:v>826.9</c:v>
                </c:pt>
                <c:pt idx="1">
                  <c:v>10</c:v>
                </c:pt>
                <c:pt idx="2">
                  <c:v>45.2</c:v>
                </c:pt>
                <c:pt idx="3">
                  <c:v>26.5</c:v>
                </c:pt>
              </c:numCache>
            </c:numRef>
          </c:val>
        </c:ser>
        <c:dLbls>
          <c:showLegendKey val="0"/>
          <c:showVal val="0"/>
          <c:showCatName val="0"/>
          <c:showSerName val="0"/>
          <c:showPercent val="0"/>
          <c:showBubbleSize val="0"/>
          <c:showLeaderLines val="1"/>
        </c:dLbls>
      </c:pie3DChart>
      <c:spPr>
        <a:noFill/>
        <a:ln w="21441">
          <a:noFill/>
        </a:ln>
      </c:spPr>
    </c:plotArea>
    <c:legend>
      <c:legendPos val="r"/>
      <c:overlay val="0"/>
    </c:legend>
    <c:plotVisOnly val="1"/>
    <c:dispBlanksAs val="zero"/>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845" b="0" i="0" u="none" strike="noStrike" kern="1200" baseline="0">
                <a:solidFill>
                  <a:sysClr val="windowText" lastClr="000000"/>
                </a:solidFill>
                <a:latin typeface="Palatino Linotype" pitchFamily="18" charset="0"/>
                <a:ea typeface="+mn-ea"/>
                <a:cs typeface="+mn-cs"/>
              </a:defRPr>
            </a:pPr>
            <a:r>
              <a:rPr lang="ru-RU" sz="845" b="1"/>
              <a:t>Капитал </a:t>
            </a:r>
            <a:r>
              <a:rPr lang="ru-RU" sz="676" b="1"/>
              <a:t>(млн. сомони)</a:t>
            </a:r>
            <a:r>
              <a:rPr lang="en-US" sz="845" b="1" i="0" u="none" strike="noStrike" baseline="0">
                <a:effectLst/>
              </a:rPr>
              <a:t> </a:t>
            </a:r>
            <a:endParaRPr lang="ru-RU" sz="845" b="1" i="0" u="none" strike="noStrike" baseline="0">
              <a:effectLst/>
            </a:endParaRPr>
          </a:p>
          <a:p>
            <a:pPr marL="0" marR="0" indent="0" algn="l" defTabSz="914400" rtl="0" eaLnBrk="1" fontAlgn="auto" latinLnBrk="0" hangingPunct="1">
              <a:lnSpc>
                <a:spcPct val="100000"/>
              </a:lnSpc>
              <a:spcBef>
                <a:spcPts val="0"/>
              </a:spcBef>
              <a:spcAft>
                <a:spcPts val="0"/>
              </a:spcAft>
              <a:buClrTx/>
              <a:buSzTx/>
              <a:buFontTx/>
              <a:buNone/>
              <a:tabLst/>
              <a:defRPr sz="845" b="0" i="0" u="none" strike="noStrike" kern="1200" baseline="0">
                <a:solidFill>
                  <a:sysClr val="windowText" lastClr="000000"/>
                </a:solidFill>
                <a:latin typeface="Palatino Linotype" pitchFamily="18" charset="0"/>
                <a:ea typeface="+mn-ea"/>
                <a:cs typeface="+mn-cs"/>
              </a:defRPr>
            </a:pPr>
            <a:r>
              <a:rPr lang="en-US" sz="845" b="1" i="0" u="none" strike="noStrike" baseline="0">
                <a:effectLst/>
              </a:rPr>
              <a:t>Capital</a:t>
            </a:r>
            <a:r>
              <a:rPr lang="ru-RU" sz="845" b="1" i="0" u="none" strike="noStrike" baseline="0">
                <a:effectLst/>
              </a:rPr>
              <a:t> </a:t>
            </a:r>
            <a:r>
              <a:rPr lang="ru-RU" sz="680" b="1" i="0" baseline="0">
                <a:effectLst/>
              </a:rPr>
              <a:t>(</a:t>
            </a:r>
            <a:r>
              <a:rPr lang="en-US" sz="680" b="1" i="0" baseline="0">
                <a:effectLst/>
              </a:rPr>
              <a:t>million TJS</a:t>
            </a:r>
            <a:r>
              <a:rPr lang="ru-RU" sz="680" b="1" i="0" baseline="0">
                <a:effectLst/>
              </a:rPr>
              <a:t>)</a:t>
            </a:r>
            <a:endParaRPr lang="ru-RU" sz="680">
              <a:effectLst/>
            </a:endParaRPr>
          </a:p>
          <a:p>
            <a:pPr marL="0" marR="0" indent="0" algn="l" defTabSz="914400" rtl="0" eaLnBrk="1" fontAlgn="auto" latinLnBrk="0" hangingPunct="1">
              <a:lnSpc>
                <a:spcPct val="100000"/>
              </a:lnSpc>
              <a:spcBef>
                <a:spcPts val="0"/>
              </a:spcBef>
              <a:spcAft>
                <a:spcPts val="0"/>
              </a:spcAft>
              <a:buClrTx/>
              <a:buSzTx/>
              <a:buFontTx/>
              <a:buNone/>
              <a:tabLst/>
              <a:defRPr sz="845" b="0" i="0" u="none" strike="noStrike" kern="1200" baseline="0">
                <a:solidFill>
                  <a:sysClr val="windowText" lastClr="000000"/>
                </a:solidFill>
                <a:latin typeface="Palatino Linotype" pitchFamily="18" charset="0"/>
                <a:ea typeface="+mn-ea"/>
                <a:cs typeface="+mn-cs"/>
              </a:defRPr>
            </a:pPr>
            <a:endParaRPr lang="ru-RU" sz="676" b="1"/>
          </a:p>
        </c:rich>
      </c:tx>
      <c:overlay val="0"/>
      <c:spPr>
        <a:noFill/>
        <a:ln w="21466">
          <a:noFill/>
        </a:ln>
      </c:spPr>
    </c:title>
    <c:autoTitleDeleted val="0"/>
    <c:view3D>
      <c:rotX val="13"/>
      <c:hPercent val="55"/>
      <c:rotY val="40"/>
      <c:depthPercent val="100"/>
      <c:rAngAx val="1"/>
    </c:view3D>
    <c:floor>
      <c:thickness val="0"/>
    </c:floor>
    <c:sideWall>
      <c:thickness val="0"/>
    </c:sideWall>
    <c:backWall>
      <c:thickness val="0"/>
    </c:backWall>
    <c:plotArea>
      <c:layout>
        <c:manualLayout>
          <c:layoutTarget val="inner"/>
          <c:xMode val="edge"/>
          <c:yMode val="edge"/>
          <c:x val="0.10435251362810415"/>
          <c:y val="0.13049645390070921"/>
          <c:w val="0.86744235816676751"/>
          <c:h val="0.64812196347796969"/>
        </c:manualLayout>
      </c:layout>
      <c:bar3DChart>
        <c:barDir val="col"/>
        <c:grouping val="stacked"/>
        <c:varyColors val="0"/>
        <c:ser>
          <c:idx val="0"/>
          <c:order val="0"/>
          <c:tx>
            <c:strRef>
              <c:f>Sheet1!$A$2</c:f>
              <c:strCache>
                <c:ptCount val="1"/>
                <c:pt idx="0">
                  <c:v>Капитал первого уровня          TIER 1 capital</c:v>
                </c:pt>
              </c:strCache>
            </c:strRef>
          </c:tx>
          <c:invertIfNegative val="0"/>
          <c:dLbls>
            <c:dLbl>
              <c:idx val="0"/>
              <c:layout>
                <c:manualLayout>
                  <c:x val="2.9166666666666667E-2"/>
                  <c:y val="-2.856055371492407E-2"/>
                </c:manualLayout>
              </c:layout>
              <c:showLegendKey val="0"/>
              <c:showVal val="1"/>
              <c:showCatName val="0"/>
              <c:showSerName val="0"/>
              <c:showPercent val="0"/>
              <c:showBubbleSize val="0"/>
            </c:dLbl>
            <c:dLbl>
              <c:idx val="1"/>
              <c:layout>
                <c:manualLayout>
                  <c:x val="2.9166666666666598E-2"/>
                  <c:y val="-2.3800461429103411E-2"/>
                </c:manualLayout>
              </c:layout>
              <c:showLegendKey val="0"/>
              <c:showVal val="1"/>
              <c:showCatName val="0"/>
              <c:showSerName val="0"/>
              <c:showPercent val="0"/>
              <c:showBubbleSize val="0"/>
            </c:dLbl>
            <c:dLbl>
              <c:idx val="2"/>
              <c:layout>
                <c:manualLayout>
                  <c:x val="2.7374184038745069E-2"/>
                  <c:y val="-2.887044388307481E-2"/>
                </c:manualLayout>
              </c:layout>
              <c:showLegendKey val="0"/>
              <c:showVal val="1"/>
              <c:showCatName val="0"/>
              <c:showSerName val="0"/>
              <c:showPercent val="0"/>
              <c:showBubbleSize val="0"/>
            </c:dLbl>
            <c:numFmt formatCode="#,##0_);[Red]\(#,##0\)" sourceLinked="0"/>
            <c:spPr>
              <a:noFill/>
              <a:ln w="21466">
                <a:noFill/>
              </a:ln>
            </c:spPr>
            <c:txPr>
              <a:bodyPr/>
              <a:lstStyle/>
              <a:p>
                <a:pPr>
                  <a:defRPr sz="761" b="1">
                    <a:solidFill>
                      <a:schemeClr val="bg1"/>
                    </a:solidFill>
                  </a:defRPr>
                </a:pPr>
                <a:endParaRPr lang="ru-RU"/>
              </a:p>
            </c:txPr>
            <c:showLegendKey val="0"/>
            <c:showVal val="1"/>
            <c:showCatName val="0"/>
            <c:showSerName val="0"/>
            <c:showPercent val="0"/>
            <c:showBubbleSize val="0"/>
            <c:showLeaderLines val="0"/>
          </c:dLbls>
          <c:cat>
            <c:numRef>
              <c:f>Sheet1!$B$1:$D$1</c:f>
              <c:numCache>
                <c:formatCode>General</c:formatCode>
                <c:ptCount val="3"/>
                <c:pt idx="0">
                  <c:v>2009</c:v>
                </c:pt>
                <c:pt idx="1">
                  <c:v>2010</c:v>
                </c:pt>
                <c:pt idx="2">
                  <c:v>2011</c:v>
                </c:pt>
              </c:numCache>
            </c:numRef>
          </c:cat>
          <c:val>
            <c:numRef>
              <c:f>Sheet1!$B$2:$D$2</c:f>
              <c:numCache>
                <c:formatCode>#,##0</c:formatCode>
                <c:ptCount val="3"/>
                <c:pt idx="0">
                  <c:v>65.900000000000006</c:v>
                </c:pt>
                <c:pt idx="1">
                  <c:v>70.900000000000006</c:v>
                </c:pt>
                <c:pt idx="2">
                  <c:v>88.5</c:v>
                </c:pt>
              </c:numCache>
            </c:numRef>
          </c:val>
        </c:ser>
        <c:ser>
          <c:idx val="1"/>
          <c:order val="1"/>
          <c:tx>
            <c:strRef>
              <c:f>Sheet1!$A$3</c:f>
              <c:strCache>
                <c:ptCount val="1"/>
                <c:pt idx="0">
                  <c:v>Капитал второго уровня              TIER 2 capital</c:v>
                </c:pt>
              </c:strCache>
            </c:strRef>
          </c:tx>
          <c:invertIfNegative val="0"/>
          <c:dLbls>
            <c:dLbl>
              <c:idx val="0"/>
              <c:layout>
                <c:manualLayout>
                  <c:x val="3.7500000000000006E-2"/>
                  <c:y val="-2.8560553714923984E-2"/>
                </c:manualLayout>
              </c:layout>
              <c:showLegendKey val="0"/>
              <c:showVal val="1"/>
              <c:showCatName val="0"/>
              <c:showSerName val="0"/>
              <c:showPercent val="0"/>
              <c:showBubbleSize val="0"/>
            </c:dLbl>
            <c:dLbl>
              <c:idx val="1"/>
              <c:layout>
                <c:manualLayout>
                  <c:x val="3.7500000000000006E-2"/>
                  <c:y val="-3.0940599857834407E-2"/>
                </c:manualLayout>
              </c:layout>
              <c:showLegendKey val="0"/>
              <c:showVal val="1"/>
              <c:showCatName val="0"/>
              <c:showSerName val="0"/>
              <c:showPercent val="0"/>
              <c:showBubbleSize val="0"/>
            </c:dLbl>
            <c:dLbl>
              <c:idx val="2"/>
              <c:layout>
                <c:manualLayout>
                  <c:x val="4.0277777777777773E-2"/>
                  <c:y val="-3.0940599857834407E-2"/>
                </c:manualLayout>
              </c:layout>
              <c:showLegendKey val="0"/>
              <c:showVal val="1"/>
              <c:showCatName val="0"/>
              <c:showSerName val="0"/>
              <c:showPercent val="0"/>
              <c:showBubbleSize val="0"/>
            </c:dLbl>
            <c:spPr>
              <a:noFill/>
              <a:ln w="21466">
                <a:noFill/>
              </a:ln>
            </c:spPr>
            <c:txPr>
              <a:bodyPr/>
              <a:lstStyle/>
              <a:p>
                <a:pPr>
                  <a:defRPr sz="761" b="1"/>
                </a:pPr>
                <a:endParaRPr lang="ru-RU"/>
              </a:p>
            </c:txPr>
            <c:showLegendKey val="0"/>
            <c:showVal val="1"/>
            <c:showCatName val="0"/>
            <c:showSerName val="0"/>
            <c:showPercent val="0"/>
            <c:showBubbleSize val="0"/>
            <c:showLeaderLines val="0"/>
          </c:dLbls>
          <c:cat>
            <c:numRef>
              <c:f>Sheet1!$B$1:$D$1</c:f>
              <c:numCache>
                <c:formatCode>General</c:formatCode>
                <c:ptCount val="3"/>
                <c:pt idx="0">
                  <c:v>2009</c:v>
                </c:pt>
                <c:pt idx="1">
                  <c:v>2010</c:v>
                </c:pt>
                <c:pt idx="2">
                  <c:v>2011</c:v>
                </c:pt>
              </c:numCache>
            </c:numRef>
          </c:cat>
          <c:val>
            <c:numRef>
              <c:f>Sheet1!$B$3:$D$3</c:f>
              <c:numCache>
                <c:formatCode>#,##0</c:formatCode>
                <c:ptCount val="3"/>
                <c:pt idx="0">
                  <c:v>32.799999999999997</c:v>
                </c:pt>
                <c:pt idx="1">
                  <c:v>38.5</c:v>
                </c:pt>
                <c:pt idx="2">
                  <c:v>37.1</c:v>
                </c:pt>
              </c:numCache>
            </c:numRef>
          </c:val>
        </c:ser>
        <c:dLbls>
          <c:showLegendKey val="0"/>
          <c:showVal val="1"/>
          <c:showCatName val="0"/>
          <c:showSerName val="0"/>
          <c:showPercent val="0"/>
          <c:showBubbleSize val="0"/>
        </c:dLbls>
        <c:gapWidth val="75"/>
        <c:shape val="cylinder"/>
        <c:axId val="132887296"/>
        <c:axId val="132888832"/>
        <c:axId val="0"/>
      </c:bar3DChart>
      <c:catAx>
        <c:axId val="132887296"/>
        <c:scaling>
          <c:orientation val="minMax"/>
        </c:scaling>
        <c:delete val="0"/>
        <c:axPos val="b"/>
        <c:numFmt formatCode="General" sourceLinked="1"/>
        <c:majorTickMark val="none"/>
        <c:minorTickMark val="none"/>
        <c:tickLblPos val="low"/>
        <c:txPr>
          <a:bodyPr rot="0" vert="horz"/>
          <a:lstStyle/>
          <a:p>
            <a:pPr>
              <a:defRPr sz="845" b="1"/>
            </a:pPr>
            <a:endParaRPr lang="ru-RU"/>
          </a:p>
        </c:txPr>
        <c:crossAx val="132888832"/>
        <c:crosses val="autoZero"/>
        <c:auto val="1"/>
        <c:lblAlgn val="ctr"/>
        <c:lblOffset val="100"/>
        <c:noMultiLvlLbl val="0"/>
      </c:catAx>
      <c:valAx>
        <c:axId val="132888832"/>
        <c:scaling>
          <c:orientation val="minMax"/>
        </c:scaling>
        <c:delete val="0"/>
        <c:axPos val="l"/>
        <c:numFmt formatCode="#,##0" sourceLinked="0"/>
        <c:majorTickMark val="none"/>
        <c:minorTickMark val="none"/>
        <c:tickLblPos val="nextTo"/>
        <c:crossAx val="132887296"/>
        <c:crosses val="autoZero"/>
        <c:crossBetween val="between"/>
      </c:valAx>
      <c:spPr>
        <a:noFill/>
        <a:ln w="21466">
          <a:noFill/>
        </a:ln>
      </c:spPr>
    </c:plotArea>
    <c:legend>
      <c:legendPos val="b"/>
      <c:layout>
        <c:manualLayout>
          <c:xMode val="edge"/>
          <c:yMode val="edge"/>
          <c:x val="7.4031704586149535E-2"/>
          <c:y val="0.88802897925430568"/>
          <c:w val="0.74552649830688289"/>
          <c:h val="0.10713155718548885"/>
        </c:manualLayout>
      </c:layout>
      <c:overlay val="0"/>
      <c:txPr>
        <a:bodyPr/>
        <a:lstStyle/>
        <a:p>
          <a:pPr>
            <a:defRPr sz="761"/>
          </a:pPr>
          <a:endParaRPr lang="ru-RU"/>
        </a:p>
      </c:txPr>
    </c:legend>
    <c:plotVisOnly val="1"/>
    <c:dispBlanksAs val="gap"/>
    <c:showDLblsOverMax val="0"/>
  </c:chart>
  <c:spPr>
    <a:ln>
      <a:noFill/>
    </a:ln>
  </c:spPr>
  <c:txPr>
    <a:bodyPr/>
    <a:lstStyle/>
    <a:p>
      <a:pPr>
        <a:defRPr sz="676">
          <a:latin typeface="Palatino Linotype"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1100"/>
            </a:pPr>
            <a:r>
              <a:rPr lang="ru-RU" sz="1100"/>
              <a:t>Структура капитала (%) </a:t>
            </a:r>
          </a:p>
          <a:p>
            <a:pPr algn="l">
              <a:defRPr sz="1100"/>
            </a:pPr>
            <a:r>
              <a:rPr lang="ru-RU" sz="1100">
                <a:solidFill>
                  <a:schemeClr val="accent4"/>
                </a:solidFill>
              </a:rPr>
              <a:t>С</a:t>
            </a:r>
            <a:r>
              <a:rPr lang="en-US" sz="1100">
                <a:solidFill>
                  <a:schemeClr val="accent4"/>
                </a:solidFill>
              </a:rPr>
              <a:t>apital structure</a:t>
            </a:r>
          </a:p>
        </c:rich>
      </c:tx>
      <c:overlay val="0"/>
      <c:spPr>
        <a:noFill/>
        <a:ln w="21458">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капитала (%)    Сapital structure</c:v>
                </c:pt>
              </c:strCache>
            </c:strRef>
          </c:tx>
          <c:explosion val="14"/>
          <c:dLbls>
            <c:dLbl>
              <c:idx val="0"/>
              <c:layout>
                <c:manualLayout>
                  <c:x val="1.6259492563429571E-2"/>
                  <c:y val="-1.6184108271382294E-2"/>
                </c:manualLayout>
              </c:layout>
              <c:dLblPos val="bestFit"/>
              <c:showLegendKey val="0"/>
              <c:showVal val="0"/>
              <c:showCatName val="0"/>
              <c:showSerName val="0"/>
              <c:showPercent val="1"/>
              <c:showBubbleSize val="0"/>
            </c:dLbl>
            <c:dLbl>
              <c:idx val="1"/>
              <c:layout>
                <c:manualLayout>
                  <c:x val="3.2447400385631452E-5"/>
                  <c:y val="8.6379435128748433E-2"/>
                </c:manualLayout>
              </c:layout>
              <c:dLblPos val="bestFit"/>
              <c:showLegendKey val="0"/>
              <c:showVal val="0"/>
              <c:showCatName val="0"/>
              <c:showSerName val="0"/>
              <c:showPercent val="1"/>
              <c:showBubbleSize val="0"/>
            </c:dLbl>
            <c:dLbl>
              <c:idx val="2"/>
              <c:layout>
                <c:manualLayout>
                  <c:x val="2.7516360454943163E-2"/>
                  <c:y val="1.5376178536342181E-2"/>
                </c:manualLayout>
              </c:layout>
              <c:dLblPos val="bestFit"/>
              <c:showLegendKey val="0"/>
              <c:showVal val="0"/>
              <c:showCatName val="0"/>
              <c:showSerName val="0"/>
              <c:showPercent val="1"/>
              <c:showBubbleSize val="0"/>
            </c:dLbl>
            <c:dLbl>
              <c:idx val="3"/>
              <c:layout>
                <c:manualLayout>
                  <c:x val="2.6404199475065646E-2"/>
                  <c:y val="-6.368539128139708E-2"/>
                </c:manualLayout>
              </c:layout>
              <c:dLblPos val="bestFit"/>
              <c:showLegendKey val="0"/>
              <c:showVal val="0"/>
              <c:showCatName val="0"/>
              <c:showSerName val="0"/>
              <c:showPercent val="1"/>
              <c:showBubbleSize val="0"/>
            </c:dLbl>
            <c:dLbl>
              <c:idx val="4"/>
              <c:layout>
                <c:manualLayout>
                  <c:x val="2.42997375328084E-2"/>
                  <c:y val="-3.1950615111658545E-2"/>
                </c:manualLayout>
              </c:layout>
              <c:dLblPos val="bestFit"/>
              <c:showLegendKey val="0"/>
              <c:showVal val="0"/>
              <c:showCatName val="0"/>
              <c:showSerName val="0"/>
              <c:showPercent val="1"/>
              <c:showBubbleSize val="0"/>
            </c:dLbl>
            <c:spPr>
              <a:noFill/>
              <a:ln w="21458">
                <a:noFill/>
              </a:ln>
            </c:spPr>
            <c:txPr>
              <a:bodyPr/>
              <a:lstStyle/>
              <a:p>
                <a:pPr>
                  <a:defRPr sz="1183"/>
                </a:pPr>
                <a:endParaRPr lang="ru-RU"/>
              </a:p>
            </c:txPr>
            <c:showLegendKey val="0"/>
            <c:showVal val="0"/>
            <c:showCatName val="0"/>
            <c:showSerName val="0"/>
            <c:showPercent val="1"/>
            <c:showBubbleSize val="0"/>
            <c:showLeaderLines val="1"/>
          </c:dLbls>
          <c:cat>
            <c:strRef>
              <c:f>Лист1!$A$2:$A$5</c:f>
              <c:strCache>
                <c:ptCount val="4"/>
                <c:pt idx="0">
                  <c:v>Уставный капитал                                                                                Сharter capital</c:v>
                </c:pt>
                <c:pt idx="1">
                  <c:v>Резерв на банковские риски                                                           Reserve for banking risks</c:v>
                </c:pt>
                <c:pt idx="2">
                  <c:v>Резерв переоценки основных средств                                        Revaluation reserves for fixed assets</c:v>
                </c:pt>
                <c:pt idx="3">
                  <c:v>Нераспределенная прибыль                                                         Undivided profits</c:v>
                </c:pt>
              </c:strCache>
            </c:strRef>
          </c:cat>
          <c:val>
            <c:numRef>
              <c:f>Лист1!$B$2:$B$5</c:f>
              <c:numCache>
                <c:formatCode>0</c:formatCode>
                <c:ptCount val="4"/>
                <c:pt idx="0">
                  <c:v>30.5</c:v>
                </c:pt>
                <c:pt idx="1">
                  <c:v>8.4</c:v>
                </c:pt>
                <c:pt idx="2">
                  <c:v>37.1</c:v>
                </c:pt>
                <c:pt idx="3">
                  <c:v>49.6</c:v>
                </c:pt>
              </c:numCache>
            </c:numRef>
          </c:val>
        </c:ser>
        <c:dLbls>
          <c:showLegendKey val="0"/>
          <c:showVal val="0"/>
          <c:showCatName val="0"/>
          <c:showSerName val="0"/>
          <c:showPercent val="0"/>
          <c:showBubbleSize val="0"/>
          <c:showLeaderLines val="1"/>
        </c:dLbls>
      </c:pie3DChart>
      <c:spPr>
        <a:noFill/>
        <a:ln w="21458">
          <a:noFill/>
        </a:ln>
      </c:spPr>
    </c:plotArea>
    <c:legend>
      <c:legendPos val="r"/>
      <c:overlay val="0"/>
    </c:legend>
    <c:plotVisOnly val="1"/>
    <c:dispBlanksAs val="zero"/>
    <c:showDLblsOverMax val="0"/>
  </c:chart>
  <c:spPr>
    <a:ln>
      <a:noFill/>
    </a:ln>
  </c:spPr>
  <c:txPr>
    <a:bodyPr/>
    <a:lstStyle/>
    <a:p>
      <a:pPr>
        <a:defRPr>
          <a:latin typeface="Palatino Linotype"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rgbClr val="006600"/>
                </a:solidFill>
                <a:latin typeface="Palatino Linotype" pitchFamily="18" charset="0"/>
                <a:ea typeface="+mn-ea"/>
                <a:cs typeface="+mn-cs"/>
              </a:defRPr>
            </a:pPr>
            <a:r>
              <a:rPr lang="ru-RU" sz="1017" b="1" i="0" u="none" strike="noStrike" baseline="0">
                <a:solidFill>
                  <a:srgbClr val="006600"/>
                </a:solidFill>
                <a:effectLst/>
              </a:rPr>
              <a:t>Динамика выплаченных пенсий </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rgbClr val="006600"/>
                </a:solidFill>
                <a:latin typeface="Palatino Linotype" pitchFamily="18" charset="0"/>
                <a:ea typeface="+mn-ea"/>
                <a:cs typeface="+mn-cs"/>
              </a:defRPr>
            </a:pPr>
            <a:r>
              <a:rPr lang="en-US" sz="1020" b="1">
                <a:solidFill>
                  <a:schemeClr val="accent4"/>
                </a:solidFill>
                <a:effectLst/>
              </a:rPr>
              <a:t>Dynamic of paid pension</a:t>
            </a:r>
            <a:endParaRPr lang="ru-RU" sz="1020">
              <a:solidFill>
                <a:schemeClr val="accent4"/>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rgbClr val="006600"/>
                </a:solidFill>
                <a:latin typeface="Palatino Linotype" pitchFamily="18" charset="0"/>
                <a:ea typeface="+mn-ea"/>
                <a:cs typeface="+mn-cs"/>
              </a:defRPr>
            </a:pPr>
            <a:r>
              <a:rPr lang="ru-RU" sz="1017" b="1" i="0" u="none" strike="noStrike" baseline="0">
                <a:solidFill>
                  <a:srgbClr val="006600"/>
                </a:solidFill>
                <a:effectLst/>
              </a:rPr>
              <a:t> </a:t>
            </a:r>
            <a:endParaRPr lang="ru-RU" sz="1200" b="1">
              <a:solidFill>
                <a:srgbClr val="006600"/>
              </a:solidFill>
            </a:endParaRPr>
          </a:p>
        </c:rich>
      </c:tx>
      <c:layout>
        <c:manualLayout>
          <c:xMode val="edge"/>
          <c:yMode val="edge"/>
          <c:x val="0.22538991781012546"/>
          <c:y val="2.8589644722244772E-2"/>
        </c:manualLayout>
      </c:layout>
      <c:overlay val="0"/>
      <c:spPr>
        <a:noFill/>
        <a:ln w="21532">
          <a:noFill/>
        </a:ln>
      </c:spPr>
    </c:title>
    <c:autoTitleDeleted val="0"/>
    <c:plotArea>
      <c:layout>
        <c:manualLayout>
          <c:layoutTarget val="inner"/>
          <c:xMode val="edge"/>
          <c:yMode val="edge"/>
          <c:x val="8.5063611840186612E-2"/>
          <c:y val="0.17756936632920894"/>
          <c:w val="0.88344214785651742"/>
          <c:h val="0.56533483947418006"/>
        </c:manualLayout>
      </c:layout>
      <c:barChart>
        <c:barDir val="col"/>
        <c:grouping val="stacked"/>
        <c:varyColors val="0"/>
        <c:ser>
          <c:idx val="0"/>
          <c:order val="0"/>
          <c:tx>
            <c:strRef>
              <c:f>Лист1!$B$1</c:f>
              <c:strCache>
                <c:ptCount val="1"/>
                <c:pt idx="0">
                  <c:v>Правоохранительные органы          Law forces</c:v>
                </c:pt>
              </c:strCache>
            </c:strRef>
          </c:tx>
          <c:invertIfNegative val="0"/>
          <c:dLbls>
            <c:spPr>
              <a:noFill/>
              <a:ln w="21532">
                <a:noFill/>
              </a:ln>
            </c:spPr>
            <c:txPr>
              <a:bodyPr/>
              <a:lstStyle/>
              <a:p>
                <a:pPr>
                  <a:defRPr b="1"/>
                </a:pPr>
                <a:endParaRPr lang="ru-RU"/>
              </a:p>
            </c:tx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General</c:formatCode>
                <c:ptCount val="3"/>
                <c:pt idx="0">
                  <c:v>72.7</c:v>
                </c:pt>
                <c:pt idx="1">
                  <c:v>67.3</c:v>
                </c:pt>
                <c:pt idx="2">
                  <c:v>86.8</c:v>
                </c:pt>
              </c:numCache>
            </c:numRef>
          </c:val>
        </c:ser>
        <c:ser>
          <c:idx val="1"/>
          <c:order val="1"/>
          <c:tx>
            <c:strRef>
              <c:f>Лист1!$C$1</c:f>
              <c:strCache>
                <c:ptCount val="1"/>
                <c:pt idx="0">
                  <c:v>Социальная сфера                Social sphere</c:v>
                </c:pt>
              </c:strCache>
            </c:strRef>
          </c:tx>
          <c:invertIfNegative val="0"/>
          <c:dLbls>
            <c:spPr>
              <a:noFill/>
              <a:ln w="21532">
                <a:noFill/>
              </a:ln>
            </c:spPr>
            <c:txPr>
              <a:bodyPr/>
              <a:lstStyle/>
              <a:p>
                <a:pPr>
                  <a:defRPr b="1"/>
                </a:pPr>
                <a:endParaRPr lang="ru-RU"/>
              </a:p>
            </c:tx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Лист1!$C$2:$C$4</c:f>
              <c:numCache>
                <c:formatCode>General</c:formatCode>
                <c:ptCount val="3"/>
                <c:pt idx="0">
                  <c:v>537.29999999999995</c:v>
                </c:pt>
                <c:pt idx="1">
                  <c:v>668.1</c:v>
                </c:pt>
                <c:pt idx="2">
                  <c:v>848</c:v>
                </c:pt>
              </c:numCache>
            </c:numRef>
          </c:val>
        </c:ser>
        <c:dLbls>
          <c:showLegendKey val="0"/>
          <c:showVal val="1"/>
          <c:showCatName val="0"/>
          <c:showSerName val="0"/>
          <c:showPercent val="0"/>
          <c:showBubbleSize val="0"/>
        </c:dLbls>
        <c:gapWidth val="150"/>
        <c:overlap val="100"/>
        <c:axId val="132853760"/>
        <c:axId val="132855296"/>
      </c:barChart>
      <c:catAx>
        <c:axId val="132853760"/>
        <c:scaling>
          <c:orientation val="minMax"/>
        </c:scaling>
        <c:delete val="0"/>
        <c:axPos val="b"/>
        <c:numFmt formatCode="General" sourceLinked="1"/>
        <c:majorTickMark val="out"/>
        <c:minorTickMark val="none"/>
        <c:tickLblPos val="nextTo"/>
        <c:txPr>
          <a:bodyPr/>
          <a:lstStyle/>
          <a:p>
            <a:pPr>
              <a:defRPr b="1"/>
            </a:pPr>
            <a:endParaRPr lang="ru-RU"/>
          </a:p>
        </c:txPr>
        <c:crossAx val="132855296"/>
        <c:crosses val="autoZero"/>
        <c:auto val="1"/>
        <c:lblAlgn val="ctr"/>
        <c:lblOffset val="100"/>
        <c:noMultiLvlLbl val="0"/>
      </c:catAx>
      <c:valAx>
        <c:axId val="132855296"/>
        <c:scaling>
          <c:orientation val="minMax"/>
        </c:scaling>
        <c:delete val="0"/>
        <c:axPos val="l"/>
        <c:title>
          <c:tx>
            <c:rich>
              <a:bodyPr rot="0" vert="horz"/>
              <a:lstStyle/>
              <a:p>
                <a:pPr>
                  <a:defRPr sz="900"/>
                </a:pPr>
                <a:r>
                  <a:rPr lang="en-US" sz="900" b="1">
                    <a:effectLst/>
                  </a:rPr>
                  <a:t>(</a:t>
                </a:r>
                <a:r>
                  <a:rPr lang="ru-RU" sz="900" b="1">
                    <a:effectLst/>
                  </a:rPr>
                  <a:t>млн</a:t>
                </a:r>
                <a:r>
                  <a:rPr lang="en-US" sz="900" b="1">
                    <a:effectLst/>
                  </a:rPr>
                  <a:t>. </a:t>
                </a:r>
                <a:r>
                  <a:rPr lang="ru-RU" sz="900" b="1">
                    <a:effectLst/>
                  </a:rPr>
                  <a:t>сомони</a:t>
                </a:r>
                <a:r>
                  <a:rPr lang="en-US" sz="900" b="1">
                    <a:effectLst/>
                  </a:rPr>
                  <a:t>) </a:t>
                </a:r>
                <a:endParaRPr lang="ru-RU" sz="900">
                  <a:effectLst/>
                </a:endParaRPr>
              </a:p>
              <a:p>
                <a:pPr>
                  <a:defRPr sz="900"/>
                </a:pPr>
                <a:r>
                  <a:rPr lang="en-US" sz="900" b="1">
                    <a:effectLst/>
                  </a:rPr>
                  <a:t>(million TJS)</a:t>
                </a:r>
                <a:endParaRPr lang="ru-RU" sz="900">
                  <a:effectLst/>
                </a:endParaRPr>
              </a:p>
            </c:rich>
          </c:tx>
          <c:layout>
            <c:manualLayout>
              <c:xMode val="edge"/>
              <c:yMode val="edge"/>
              <c:x val="7.7105574125878795E-3"/>
              <c:y val="7.7269295260881709E-4"/>
            </c:manualLayout>
          </c:layout>
          <c:overlay val="0"/>
        </c:title>
        <c:numFmt formatCode="General" sourceLinked="1"/>
        <c:majorTickMark val="out"/>
        <c:minorTickMark val="none"/>
        <c:tickLblPos val="nextTo"/>
        <c:crossAx val="132853760"/>
        <c:crosses val="autoZero"/>
        <c:crossBetween val="between"/>
      </c:valAx>
    </c:plotArea>
    <c:legend>
      <c:legendPos val="r"/>
      <c:layout>
        <c:manualLayout>
          <c:xMode val="edge"/>
          <c:yMode val="edge"/>
          <c:x val="0.16593869900340671"/>
          <c:y val="0.83913000874890642"/>
          <c:w val="0.71436453124923627"/>
          <c:h val="0.15936517935258099"/>
        </c:manualLayout>
      </c:layout>
      <c:overlay val="0"/>
    </c:legend>
    <c:plotVisOnly val="1"/>
    <c:dispBlanksAs val="gap"/>
    <c:showDLblsOverMax val="0"/>
  </c:chart>
  <c:spPr>
    <a:noFill/>
    <a:ln>
      <a:noFill/>
    </a:ln>
  </c:spPr>
  <c:txPr>
    <a:bodyPr/>
    <a:lstStyle/>
    <a:p>
      <a:pPr>
        <a:defRPr>
          <a:latin typeface="Palatino Linotype"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a:pPr>
            <a:r>
              <a:rPr lang="ru-RU">
                <a:solidFill>
                  <a:srgbClr val="006600"/>
                </a:solidFill>
              </a:rPr>
              <a:t>Транзитные средства республиканского бюджета </a:t>
            </a:r>
          </a:p>
          <a:p>
            <a:pPr algn="ctr" rtl="0">
              <a:defRPr/>
            </a:pPr>
            <a:r>
              <a:rPr lang="en-US">
                <a:solidFill>
                  <a:schemeClr val="accent4"/>
                </a:solidFill>
              </a:rPr>
              <a:t>Transit funds of republican budget</a:t>
            </a:r>
            <a:endParaRPr lang="ru-RU">
              <a:solidFill>
                <a:schemeClr val="accent4"/>
              </a:solidFill>
            </a:endParaRPr>
          </a:p>
          <a:p>
            <a:pPr algn="ctr" rtl="0">
              <a:defRPr/>
            </a:pPr>
            <a:endParaRPr lang="ru-RU"/>
          </a:p>
        </c:rich>
      </c:tx>
      <c:overlay val="0"/>
      <c:spPr>
        <a:noFill/>
        <a:ln w="21445">
          <a:noFill/>
        </a:ln>
      </c:spPr>
    </c:title>
    <c:autoTitleDeleted val="0"/>
    <c:view3D>
      <c:rotX val="15"/>
      <c:rotY val="20"/>
      <c:depthPercent val="10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0457704033992912"/>
          <c:y val="0.24338109503694058"/>
          <c:w val="0.87077861445524163"/>
          <c:h val="0.66168596038412542"/>
        </c:manualLayout>
      </c:layout>
      <c:bar3DChart>
        <c:barDir val="col"/>
        <c:grouping val="clustered"/>
        <c:varyColors val="1"/>
        <c:ser>
          <c:idx val="0"/>
          <c:order val="0"/>
          <c:tx>
            <c:strRef>
              <c:f>Лист1!$B$1</c:f>
              <c:strCache>
                <c:ptCount val="1"/>
                <c:pt idx="0">
                  <c:v>Ряд 1</c:v>
                </c:pt>
              </c:strCache>
            </c:strRef>
          </c:tx>
          <c:invertIfNegative val="0"/>
          <c:dPt>
            <c:idx val="0"/>
            <c:invertIfNegative val="0"/>
            <c:bubble3D val="0"/>
            <c:spPr/>
          </c:dPt>
          <c:dLbls>
            <c:dLbl>
              <c:idx val="0"/>
              <c:layout>
                <c:manualLayout>
                  <c:x val="2.1684751521774421E-2"/>
                  <c:y val="-2.5195613185836494E-2"/>
                </c:manualLayout>
              </c:layout>
              <c:spPr>
                <a:noFill/>
                <a:ln w="21445">
                  <a:noFill/>
                </a:ln>
              </c:spPr>
              <c:txPr>
                <a:bodyPr/>
                <a:lstStyle/>
                <a:p>
                  <a:pPr>
                    <a:defRPr/>
                  </a:pPr>
                  <a:endParaRPr lang="ru-RU"/>
                </a:p>
              </c:txPr>
              <c:showLegendKey val="0"/>
              <c:showVal val="1"/>
              <c:showCatName val="0"/>
              <c:showSerName val="0"/>
              <c:showPercent val="0"/>
              <c:showBubbleSize val="0"/>
            </c:dLbl>
            <c:dLbl>
              <c:idx val="1"/>
              <c:layout>
                <c:manualLayout>
                  <c:x val="2.8913002029032544E-2"/>
                  <c:y val="-1.2597806592918261E-2"/>
                </c:manualLayout>
              </c:layout>
              <c:spPr>
                <a:noFill/>
                <a:ln w="21445">
                  <a:noFill/>
                </a:ln>
              </c:spPr>
              <c:txPr>
                <a:bodyPr/>
                <a:lstStyle/>
                <a:p>
                  <a:pPr>
                    <a:defRPr/>
                  </a:pPr>
                  <a:endParaRPr lang="ru-RU"/>
                </a:p>
              </c:txPr>
              <c:showLegendKey val="0"/>
              <c:showVal val="1"/>
              <c:showCatName val="0"/>
              <c:showSerName val="0"/>
              <c:showPercent val="0"/>
              <c:showBubbleSize val="0"/>
            </c:dLbl>
            <c:dLbl>
              <c:idx val="2"/>
              <c:layout>
                <c:manualLayout>
                  <c:x val="2.464985994397751E-2"/>
                  <c:y val="-1.5037593984962405E-2"/>
                </c:manualLayout>
              </c:layout>
              <c:spPr>
                <a:noFill/>
                <a:ln w="21445">
                  <a:noFill/>
                </a:ln>
              </c:spPr>
              <c:txPr>
                <a:bodyPr/>
                <a:lstStyle/>
                <a:p>
                  <a:pPr>
                    <a:defRPr/>
                  </a:pPr>
                  <a:endParaRPr lang="ru-RU"/>
                </a:p>
              </c:txPr>
              <c:showLegendKey val="0"/>
              <c:showVal val="1"/>
              <c:showCatName val="0"/>
              <c:showSerName val="0"/>
              <c:showPercent val="0"/>
              <c:showBubbleSize val="0"/>
            </c:dLbl>
            <c:spPr>
              <a:noFill/>
              <a:ln w="21445">
                <a:noFill/>
              </a:ln>
            </c:sp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#,##0</c:formatCode>
                <c:ptCount val="3"/>
                <c:pt idx="0">
                  <c:v>1154.4000000000001</c:v>
                </c:pt>
                <c:pt idx="1">
                  <c:v>1197.5999999999999</c:v>
                </c:pt>
                <c:pt idx="2">
                  <c:v>1443.9</c:v>
                </c:pt>
              </c:numCache>
            </c:numRef>
          </c:val>
        </c:ser>
        <c:dLbls>
          <c:showLegendKey val="0"/>
          <c:showVal val="0"/>
          <c:showCatName val="0"/>
          <c:showSerName val="0"/>
          <c:showPercent val="0"/>
          <c:showBubbleSize val="0"/>
        </c:dLbls>
        <c:gapWidth val="70"/>
        <c:gapDepth val="104"/>
        <c:shape val="cone"/>
        <c:axId val="132678016"/>
        <c:axId val="132679552"/>
        <c:axId val="0"/>
      </c:bar3DChart>
      <c:catAx>
        <c:axId val="132678016"/>
        <c:scaling>
          <c:orientation val="minMax"/>
        </c:scaling>
        <c:delete val="0"/>
        <c:axPos val="b"/>
        <c:numFmt formatCode="General" sourceLinked="1"/>
        <c:majorTickMark val="out"/>
        <c:minorTickMark val="none"/>
        <c:tickLblPos val="nextTo"/>
        <c:crossAx val="132679552"/>
        <c:crosses val="autoZero"/>
        <c:auto val="1"/>
        <c:lblAlgn val="ctr"/>
        <c:lblOffset val="100"/>
        <c:noMultiLvlLbl val="0"/>
      </c:catAx>
      <c:valAx>
        <c:axId val="132679552"/>
        <c:scaling>
          <c:orientation val="minMax"/>
          <c:min val="0"/>
        </c:scaling>
        <c:delete val="0"/>
        <c:axPos val="l"/>
        <c:title>
          <c:tx>
            <c:rich>
              <a:bodyPr rot="0" vert="horz"/>
              <a:lstStyle/>
              <a:p>
                <a:pPr>
                  <a:defRPr sz="900"/>
                </a:pPr>
                <a:r>
                  <a:rPr lang="en-US" sz="900" b="1">
                    <a:effectLst/>
                  </a:rPr>
                  <a:t>(</a:t>
                </a:r>
                <a:r>
                  <a:rPr lang="ru-RU" sz="900" b="1">
                    <a:effectLst/>
                  </a:rPr>
                  <a:t>млн</a:t>
                </a:r>
                <a:r>
                  <a:rPr lang="en-US" sz="900" b="1">
                    <a:effectLst/>
                  </a:rPr>
                  <a:t>. </a:t>
                </a:r>
                <a:r>
                  <a:rPr lang="ru-RU" sz="900" b="1">
                    <a:effectLst/>
                  </a:rPr>
                  <a:t>сомони</a:t>
                </a:r>
                <a:r>
                  <a:rPr lang="en-US" sz="900" b="1">
                    <a:effectLst/>
                  </a:rPr>
                  <a:t>) </a:t>
                </a:r>
                <a:endParaRPr lang="ru-RU" sz="900">
                  <a:effectLst/>
                </a:endParaRPr>
              </a:p>
              <a:p>
                <a:pPr>
                  <a:defRPr sz="900"/>
                </a:pPr>
                <a:r>
                  <a:rPr lang="en-US" sz="900" b="1">
                    <a:effectLst/>
                  </a:rPr>
                  <a:t>(million TJS)</a:t>
                </a:r>
                <a:endParaRPr lang="ru-RU" sz="900">
                  <a:effectLst/>
                </a:endParaRPr>
              </a:p>
            </c:rich>
          </c:tx>
          <c:layout>
            <c:manualLayout>
              <c:xMode val="edge"/>
              <c:yMode val="edge"/>
              <c:x val="4.802816380362767E-2"/>
              <c:y val="0.23066073535858903"/>
            </c:manualLayout>
          </c:layout>
          <c:overlay val="0"/>
        </c:title>
        <c:numFmt formatCode="#,##0" sourceLinked="0"/>
        <c:majorTickMark val="out"/>
        <c:minorTickMark val="none"/>
        <c:tickLblPos val="nextTo"/>
        <c:crossAx val="132678016"/>
        <c:crosses val="autoZero"/>
        <c:crossBetween val="between"/>
      </c:valAx>
      <c:spPr>
        <a:noFill/>
        <a:ln w="21445">
          <a:noFill/>
        </a:ln>
      </c:spPr>
    </c:plotArea>
    <c:plotVisOnly val="1"/>
    <c:dispBlanksAs val="gap"/>
    <c:showDLblsOverMax val="0"/>
  </c:chart>
  <c:spPr>
    <a:ln>
      <a:noFill/>
    </a:ln>
  </c:spPr>
  <c:txPr>
    <a:bodyPr/>
    <a:lstStyle/>
    <a:p>
      <a:pPr>
        <a:defRPr sz="844">
          <a:solidFill>
            <a:sysClr val="windowText" lastClr="000000"/>
          </a:solidFill>
          <a:latin typeface="Palatino Linotype"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2.5922917530045601E-2"/>
                  <c:y val="-8.6765020798393391E-2"/>
                </c:manualLayout>
              </c:layout>
              <c:spPr>
                <a:noFill/>
                <a:ln w="21465">
                  <a:noFill/>
                </a:ln>
              </c:spPr>
              <c:txPr>
                <a:bodyPr/>
                <a:lstStyle/>
                <a:p>
                  <a:pPr>
                    <a:defRPr/>
                  </a:pPr>
                  <a:endParaRPr lang="ru-RU"/>
                </a:p>
              </c:txPr>
              <c:dLblPos val="bestFit"/>
              <c:showLegendKey val="0"/>
              <c:showVal val="1"/>
              <c:showCatName val="0"/>
              <c:showSerName val="0"/>
              <c:showPercent val="0"/>
              <c:showBubbleSize val="0"/>
            </c:dLbl>
            <c:dLbl>
              <c:idx val="1"/>
              <c:layout>
                <c:manualLayout>
                  <c:x val="1.2561587696274838E-3"/>
                  <c:y val="9.5420563404303698E-3"/>
                </c:manualLayout>
              </c:layout>
              <c:spPr>
                <a:noFill/>
                <a:ln w="21465">
                  <a:noFill/>
                </a:ln>
              </c:spPr>
              <c:txPr>
                <a:bodyPr/>
                <a:lstStyle/>
                <a:p>
                  <a:pPr>
                    <a:defRPr/>
                  </a:pPr>
                  <a:endParaRPr lang="ru-RU"/>
                </a:p>
              </c:txPr>
              <c:dLblPos val="bestFit"/>
              <c:showLegendKey val="0"/>
              <c:showVal val="1"/>
              <c:showCatName val="0"/>
              <c:showSerName val="0"/>
              <c:showPercent val="0"/>
              <c:showBubbleSize val="0"/>
            </c:dLbl>
            <c:dLbl>
              <c:idx val="2"/>
              <c:layout>
                <c:manualLayout>
                  <c:x val="2.1967675093244942E-2"/>
                  <c:y val="-3.713465419710623E-2"/>
                </c:manualLayout>
              </c:layout>
              <c:spPr>
                <a:noFill/>
                <a:ln w="21465">
                  <a:noFill/>
                </a:ln>
              </c:spPr>
              <c:txPr>
                <a:bodyPr/>
                <a:lstStyle/>
                <a:p>
                  <a:pPr>
                    <a:defRPr/>
                  </a:pPr>
                  <a:endParaRPr lang="ru-RU"/>
                </a:p>
              </c:txPr>
              <c:dLblPos val="bestFit"/>
              <c:showLegendKey val="0"/>
              <c:showVal val="1"/>
              <c:showCatName val="0"/>
              <c:showSerName val="0"/>
              <c:showPercent val="0"/>
              <c:showBubbleSize val="0"/>
            </c:dLbl>
            <c:dLbl>
              <c:idx val="7"/>
              <c:layout>
                <c:manualLayout>
                  <c:x val="9.8736694371537218E-2"/>
                  <c:y val="-1.0224971878515215E-2"/>
                </c:manualLayout>
              </c:layout>
              <c:spPr>
                <a:noFill/>
                <a:ln w="21465">
                  <a:noFill/>
                </a:ln>
              </c:spPr>
              <c:txPr>
                <a:bodyPr/>
                <a:lstStyle/>
                <a:p>
                  <a:pPr>
                    <a:defRPr/>
                  </a:pPr>
                  <a:endParaRPr lang="ru-RU"/>
                </a:p>
              </c:txPr>
              <c:dLblPos val="bestFit"/>
              <c:showLegendKey val="0"/>
              <c:showVal val="1"/>
              <c:showCatName val="0"/>
              <c:showSerName val="0"/>
              <c:showPercent val="0"/>
              <c:showBubbleSize val="0"/>
            </c:dLbl>
            <c:spPr>
              <a:noFill/>
              <a:ln w="21465">
                <a:noFill/>
              </a:ln>
            </c:spPr>
            <c:showLegendKey val="0"/>
            <c:showVal val="1"/>
            <c:showCatName val="0"/>
            <c:showSerName val="0"/>
            <c:showPercent val="0"/>
            <c:showBubbleSize val="0"/>
            <c:showLeaderLines val="1"/>
          </c:dLbls>
          <c:cat>
            <c:strRef>
              <c:f>Лист1!$A$2:$A$7</c:f>
              <c:strCache>
                <c:ptCount val="6"/>
                <c:pt idx="0">
                  <c:v>ГСБ "Амонатбонк"                      SSB RT “Amonatbonk”</c:v>
                </c:pt>
                <c:pt idx="1">
                  <c:v>ОАО "Тоджиксодиротбанк"  OJSC “Tojiksodirotbonk”</c:v>
                </c:pt>
                <c:pt idx="2">
                  <c:v>ОАО "Агроинвестбанк"           OJSC “Agroinvestbonk”</c:v>
                </c:pt>
                <c:pt idx="3">
                  <c:v>ОАО "Ориёнбонк"                     OJSC “Oriyonbonk”</c:v>
                </c:pt>
                <c:pt idx="4">
                  <c:v>ОАО "Банк Эсхата"                     OJSC “Eskhata Bank”</c:v>
                </c:pt>
                <c:pt idx="5">
                  <c:v>Другие банки                               Other banks</c:v>
                </c:pt>
              </c:strCache>
            </c:strRef>
          </c:cat>
          <c:val>
            <c:numRef>
              <c:f>Лист1!$B$2:$B$7</c:f>
              <c:numCache>
                <c:formatCode>0.0%</c:formatCode>
                <c:ptCount val="6"/>
                <c:pt idx="0">
                  <c:v>0.436</c:v>
                </c:pt>
                <c:pt idx="1">
                  <c:v>0.26500000000000001</c:v>
                </c:pt>
                <c:pt idx="2">
                  <c:v>0.1852</c:v>
                </c:pt>
                <c:pt idx="3">
                  <c:v>6.93E-2</c:v>
                </c:pt>
                <c:pt idx="4">
                  <c:v>2.86E-2</c:v>
                </c:pt>
                <c:pt idx="5">
                  <c:v>1.6E-2</c:v>
                </c:pt>
              </c:numCache>
            </c:numRef>
          </c:val>
        </c:ser>
        <c:dLbls>
          <c:showLegendKey val="0"/>
          <c:showVal val="0"/>
          <c:showCatName val="0"/>
          <c:showSerName val="0"/>
          <c:showPercent val="0"/>
          <c:showBubbleSize val="0"/>
          <c:showLeaderLines val="1"/>
        </c:dLbls>
      </c:pie3DChart>
      <c:spPr>
        <a:noFill/>
        <a:ln w="21465">
          <a:noFill/>
        </a:ln>
      </c:spPr>
    </c:plotArea>
    <c:legend>
      <c:legendPos val="r"/>
      <c:overlay val="0"/>
    </c:legend>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728" b="1" i="0" u="none" strike="noStrike" kern="1200" baseline="0">
                <a:solidFill>
                  <a:sysClr val="windowText" lastClr="000000"/>
                </a:solidFill>
                <a:latin typeface="Palatino Linotype" pitchFamily="18" charset="0"/>
                <a:ea typeface="+mn-ea"/>
                <a:cs typeface="+mn-cs"/>
              </a:defRPr>
            </a:pPr>
            <a:r>
              <a:rPr lang="ru-RU" sz="1050">
                <a:latin typeface="Palatino Linotype" pitchFamily="18" charset="0"/>
              </a:rPr>
              <a:t>Динамика </a:t>
            </a:r>
            <a:r>
              <a:rPr lang="ru-RU" sz="1050" b="1" i="0" u="none" strike="noStrike" baseline="0">
                <a:effectLst/>
                <a:latin typeface="Palatino Linotype" pitchFamily="18" charset="0"/>
              </a:rPr>
              <a:t>денежных переводов</a:t>
            </a:r>
          </a:p>
          <a:p>
            <a:pPr marL="0" marR="0" indent="0" algn="ctr" defTabSz="914400" rtl="0" eaLnBrk="1" fontAlgn="auto" latinLnBrk="0" hangingPunct="1">
              <a:lnSpc>
                <a:spcPct val="100000"/>
              </a:lnSpc>
              <a:spcBef>
                <a:spcPts val="0"/>
              </a:spcBef>
              <a:spcAft>
                <a:spcPts val="0"/>
              </a:spcAft>
              <a:buClrTx/>
              <a:buSzTx/>
              <a:buFontTx/>
              <a:buNone/>
              <a:tabLst/>
              <a:defRPr sz="728" b="1" i="0" u="none" strike="noStrike" kern="1200" baseline="0">
                <a:solidFill>
                  <a:sysClr val="windowText" lastClr="000000"/>
                </a:solidFill>
                <a:latin typeface="Palatino Linotype" pitchFamily="18" charset="0"/>
                <a:ea typeface="+mn-ea"/>
                <a:cs typeface="+mn-cs"/>
              </a:defRPr>
            </a:pPr>
            <a:r>
              <a:rPr lang="en-US" sz="1050">
                <a:effectLst/>
              </a:rPr>
              <a:t>Remittances dynamic</a:t>
            </a:r>
            <a:endParaRPr lang="ru-RU" sz="1050">
              <a:effectLst/>
            </a:endParaRPr>
          </a:p>
          <a:p>
            <a:pPr marL="0" marR="0" indent="0" algn="ctr" defTabSz="914400" rtl="0" eaLnBrk="1" fontAlgn="auto" latinLnBrk="0" hangingPunct="1">
              <a:lnSpc>
                <a:spcPct val="100000"/>
              </a:lnSpc>
              <a:spcBef>
                <a:spcPts val="0"/>
              </a:spcBef>
              <a:spcAft>
                <a:spcPts val="0"/>
              </a:spcAft>
              <a:buClrTx/>
              <a:buSzTx/>
              <a:buFontTx/>
              <a:buNone/>
              <a:tabLst/>
              <a:defRPr sz="728" b="1" i="0" u="none" strike="noStrike" kern="1200" baseline="0">
                <a:solidFill>
                  <a:sysClr val="windowText" lastClr="000000"/>
                </a:solidFill>
                <a:latin typeface="Palatino Linotype" pitchFamily="18" charset="0"/>
                <a:ea typeface="+mn-ea"/>
                <a:cs typeface="+mn-cs"/>
              </a:defRPr>
            </a:pPr>
            <a:r>
              <a:rPr lang="ru-RU" sz="728" b="1" i="0" u="none" strike="noStrike" baseline="0">
                <a:effectLst/>
                <a:latin typeface="Palatino Linotype" pitchFamily="18" charset="0"/>
              </a:rPr>
              <a:t> </a:t>
            </a:r>
            <a:r>
              <a:rPr lang="ru-RU" sz="728">
                <a:latin typeface="Palatino Linotype" pitchFamily="18" charset="0"/>
              </a:rPr>
              <a:t> </a:t>
            </a:r>
          </a:p>
        </c:rich>
      </c:tx>
      <c:layout>
        <c:manualLayout>
          <c:xMode val="edge"/>
          <c:yMode val="edge"/>
          <c:x val="0.25373110127048198"/>
          <c:y val="4.3336944745395449E-2"/>
        </c:manualLayout>
      </c:layout>
      <c:overlay val="0"/>
      <c:spPr>
        <a:noFill/>
        <a:ln w="16800">
          <a:noFill/>
        </a:ln>
      </c:spPr>
    </c:title>
    <c:autoTitleDeleted val="0"/>
    <c:plotArea>
      <c:layout>
        <c:manualLayout>
          <c:layoutTarget val="inner"/>
          <c:xMode val="edge"/>
          <c:yMode val="edge"/>
          <c:x val="0.11147627949860194"/>
          <c:y val="0.25230075834087873"/>
          <c:w val="0.83385502452087579"/>
          <c:h val="0.57830604756614012"/>
        </c:manualLayout>
      </c:layout>
      <c:barChart>
        <c:barDir val="bar"/>
        <c:grouping val="clustered"/>
        <c:varyColors val="0"/>
        <c:ser>
          <c:idx val="0"/>
          <c:order val="0"/>
          <c:tx>
            <c:strRef>
              <c:f>Лист1!$B$1</c:f>
              <c:strCache>
                <c:ptCount val="1"/>
                <c:pt idx="0">
                  <c:v>Ряд 1</c:v>
                </c:pt>
              </c:strCache>
            </c:strRef>
          </c:tx>
          <c:invertIfNegative val="0"/>
          <c:dLbls>
            <c:spPr>
              <a:noFill/>
              <a:ln w="16800">
                <a:noFill/>
              </a:ln>
            </c:spPr>
            <c:showLegendKey val="0"/>
            <c:showVal val="1"/>
            <c:showCatName val="0"/>
            <c:showSerName val="0"/>
            <c:showPercent val="0"/>
            <c:showBubbleSize val="0"/>
            <c:showLeaderLines val="0"/>
          </c:dLbls>
          <c:cat>
            <c:numRef>
              <c:f>Лист1!$A$2:$A$4</c:f>
              <c:numCache>
                <c:formatCode>General</c:formatCode>
                <c:ptCount val="3"/>
                <c:pt idx="0">
                  <c:v>2009</c:v>
                </c:pt>
                <c:pt idx="1">
                  <c:v>2010</c:v>
                </c:pt>
                <c:pt idx="2">
                  <c:v>2011</c:v>
                </c:pt>
              </c:numCache>
            </c:numRef>
          </c:cat>
          <c:val>
            <c:numRef>
              <c:f>Лист1!$B$2:$B$4</c:f>
              <c:numCache>
                <c:formatCode>General</c:formatCode>
                <c:ptCount val="3"/>
                <c:pt idx="0">
                  <c:v>223</c:v>
                </c:pt>
                <c:pt idx="1">
                  <c:v>330.5</c:v>
                </c:pt>
                <c:pt idx="2">
                  <c:v>551</c:v>
                </c:pt>
              </c:numCache>
            </c:numRef>
          </c:val>
        </c:ser>
        <c:dLbls>
          <c:showLegendKey val="0"/>
          <c:showVal val="0"/>
          <c:showCatName val="0"/>
          <c:showSerName val="0"/>
          <c:showPercent val="0"/>
          <c:showBubbleSize val="0"/>
        </c:dLbls>
        <c:gapWidth val="150"/>
        <c:axId val="155236608"/>
        <c:axId val="11206656"/>
      </c:barChart>
      <c:catAx>
        <c:axId val="155236608"/>
        <c:scaling>
          <c:orientation val="minMax"/>
        </c:scaling>
        <c:delete val="0"/>
        <c:axPos val="l"/>
        <c:numFmt formatCode="General" sourceLinked="1"/>
        <c:majorTickMark val="out"/>
        <c:minorTickMark val="none"/>
        <c:tickLblPos val="nextTo"/>
        <c:crossAx val="11206656"/>
        <c:crosses val="autoZero"/>
        <c:auto val="1"/>
        <c:lblAlgn val="ctr"/>
        <c:lblOffset val="100"/>
        <c:noMultiLvlLbl val="0"/>
      </c:catAx>
      <c:valAx>
        <c:axId val="11206656"/>
        <c:scaling>
          <c:orientation val="minMax"/>
        </c:scaling>
        <c:delete val="0"/>
        <c:axPos val="b"/>
        <c:majorGridlines/>
        <c:title>
          <c:tx>
            <c:rich>
              <a:bodyPr/>
              <a:lstStyle/>
              <a:p>
                <a:pPr>
                  <a:defRPr sz="900">
                    <a:latin typeface="Palatino Linotype" pitchFamily="18" charset="0"/>
                  </a:defRPr>
                </a:pPr>
                <a:r>
                  <a:rPr lang="ru-RU" sz="900" b="1" i="0" baseline="0">
                    <a:effectLst/>
                    <a:latin typeface="Palatino Linotype" pitchFamily="18" charset="0"/>
                  </a:rPr>
                  <a:t>миллион дол. США</a:t>
                </a:r>
                <a:r>
                  <a:rPr lang="en-US" sz="900" b="1" i="0" baseline="0">
                    <a:effectLst/>
                    <a:latin typeface="Palatino Linotype" pitchFamily="18" charset="0"/>
                  </a:rPr>
                  <a:t> -  million USD</a:t>
                </a:r>
                <a:endParaRPr lang="ru-RU" sz="900">
                  <a:effectLst/>
                  <a:latin typeface="Palatino Linotype" pitchFamily="18" charset="0"/>
                </a:endParaRPr>
              </a:p>
            </c:rich>
          </c:tx>
          <c:layout>
            <c:manualLayout>
              <c:xMode val="edge"/>
              <c:yMode val="edge"/>
              <c:x val="0.27711596625730284"/>
              <c:y val="0.92022419191100568"/>
            </c:manualLayout>
          </c:layout>
          <c:overlay val="0"/>
        </c:title>
        <c:numFmt formatCode="General" sourceLinked="1"/>
        <c:majorTickMark val="out"/>
        <c:minorTickMark val="none"/>
        <c:tickLblPos val="nextTo"/>
        <c:crossAx val="155236608"/>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0.27359</cdr:x>
      <cdr:y>0.32988</cdr:y>
    </cdr:from>
    <cdr:to>
      <cdr:x>0.38909</cdr:x>
      <cdr:y>0.41464</cdr:y>
    </cdr:to>
    <cdr:sp macro="" textlink="">
      <cdr:nvSpPr>
        <cdr:cNvPr id="2" name="Поле 1"/>
        <cdr:cNvSpPr txBox="1"/>
      </cdr:nvSpPr>
      <cdr:spPr>
        <a:xfrm xmlns:a="http://schemas.openxmlformats.org/drawingml/2006/main">
          <a:off x="1360122" y="1096583"/>
          <a:ext cx="574185" cy="2817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latin typeface="Palatino Linotype" pitchFamily="18" charset="0"/>
            </a:rPr>
            <a:t>422,8</a:t>
          </a:r>
        </a:p>
      </cdr:txBody>
    </cdr:sp>
  </cdr:relSizeAnchor>
  <cdr:relSizeAnchor xmlns:cdr="http://schemas.openxmlformats.org/drawingml/2006/chartDrawing">
    <cdr:from>
      <cdr:x>0.74909</cdr:x>
      <cdr:y>0.12899</cdr:y>
    </cdr:from>
    <cdr:to>
      <cdr:x>0.84686</cdr:x>
      <cdr:y>0.2029</cdr:y>
    </cdr:to>
    <cdr:sp macro="" textlink="">
      <cdr:nvSpPr>
        <cdr:cNvPr id="3" name="Поле 2"/>
        <cdr:cNvSpPr txBox="1"/>
      </cdr:nvSpPr>
      <cdr:spPr>
        <a:xfrm xmlns:a="http://schemas.openxmlformats.org/drawingml/2006/main">
          <a:off x="3646023" y="331718"/>
          <a:ext cx="475874" cy="1900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50" b="1">
              <a:latin typeface="Palatino Linotype" pitchFamily="18" charset="0"/>
            </a:rPr>
            <a:t>767,9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DCEF-BBCA-4016-ADC9-F716CDDB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50</Pages>
  <Words>12742</Words>
  <Characters>72631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odinaev-a</dc:creator>
  <cp:lastModifiedBy>odinaev-a</cp:lastModifiedBy>
  <cp:revision>9</cp:revision>
  <cp:lastPrinted>2012-05-26T05:22:00Z</cp:lastPrinted>
  <dcterms:created xsi:type="dcterms:W3CDTF">2012-05-26T05:22:00Z</dcterms:created>
  <dcterms:modified xsi:type="dcterms:W3CDTF">2012-06-11T10:06:00Z</dcterms:modified>
</cp:coreProperties>
</file>